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40"/>
        </w:rPr>
        <w:t>CS – M0 L2 Handout</w:t>
      </w:r>
    </w:p>
    <w:p>
      <w:pPr>
        <w:jc w:val="left"/>
      </w:pPr>
      <w:r>
        <w:rPr>
          <w:b/>
          <w:sz w:val="28"/>
        </w:rPr>
        <w:t>Cost Seg Under the Big Beautiful Tax Bill – Why This Matters Now</w:t>
      </w:r>
    </w:p>
    <w:p/>
    <w:p>
      <w:r>
        <w:rPr>
          <w:b/>
          <w:sz w:val="26"/>
        </w:rPr>
        <w:t>Big Idea</w:t>
      </w:r>
    </w:p>
    <w:p>
      <w:r>
        <w:t>Under the One Big Beautiful Bill Act, 100% bonus depreciation is permanently available for qualifying property with a recovery period of 20 years or less. Cost segregation is the process that pulls those short-life pieces out of your “one big building” so they can potentially be deducted up front instead of over 27.5 or 39 years.</w:t>
      </w:r>
    </w:p>
    <w:p>
      <w:r>
        <w:rPr>
          <w:b/>
          <w:sz w:val="26"/>
        </w:rPr>
        <w:t>Quick Law Snapshot – What Actually Changed</w:t>
      </w:r>
    </w:p>
    <w:p>
      <w:pPr>
        <w:pStyle w:val="ListBullet"/>
      </w:pPr>
      <w:r>
        <w:t>100% bonus depreciation is restored and made permanent for qualifying 20-years-or-less property.</w:t>
      </w:r>
    </w:p>
    <w:p>
      <w:pPr>
        <w:pStyle w:val="ListBullet"/>
      </w:pPr>
      <w:r>
        <w:t>The definition of “qualified property” is largely the same: tangible property with MACRS lives of 20 years or less, plus certain specialty categories.</w:t>
      </w:r>
    </w:p>
    <w:p>
      <w:pPr>
        <w:pStyle w:val="ListBullet"/>
      </w:pPr>
      <w:r>
        <w:t>Land is still not depreciable.</w:t>
      </w:r>
    </w:p>
    <w:p>
      <w:pPr>
        <w:pStyle w:val="ListBullet"/>
      </w:pPr>
      <w:r>
        <w:t>Residential rental buildings are still 27.5-year property; most commercial buildings are still 39-year property.</w:t>
      </w:r>
    </w:p>
    <w:p>
      <w:pPr>
        <w:pStyle w:val="ListBullet"/>
      </w:pPr>
      <w:r>
        <w:t>The law increased the payoff for finding legitimate short-life property — it did not change what counts as a cabinet, parking lot, or light pole.</w:t>
      </w:r>
    </w:p>
    <w:p>
      <w:r>
        <w:rPr>
          <w:b/>
          <w:sz w:val="26"/>
        </w:rPr>
        <w:t>Where Cost Seg Fits</w:t>
      </w:r>
    </w:p>
    <w:p>
      <w:r>
        <w:t>Cost segregation refuses to treat your entire purchase price as one blob called “building.” Instead, it breaks the price into components so each one can follow the correct recovery period:</w:t>
      </w:r>
    </w:p>
    <w:p>
      <w:pPr>
        <w:pStyle w:val="ListBullet"/>
      </w:pPr>
      <w:r>
        <w:t>Non-depreciable land.</w:t>
      </w:r>
    </w:p>
    <w:p>
      <w:pPr>
        <w:pStyle w:val="ListBullet"/>
      </w:pPr>
      <w:r>
        <w:t>Long-life structure (27.5 / 39 years).</w:t>
      </w:r>
    </w:p>
    <w:p>
      <w:pPr>
        <w:pStyle w:val="ListBullet"/>
      </w:pPr>
      <w:r>
        <w:t>Short-life components such as appliances, interior finishes, specialty lighting, and site improvements (often 5, 7, or 15 years).</w:t>
      </w:r>
    </w:p>
    <w:p>
      <w:r>
        <w:t>Those 5-, 7-, and 15-year buckets are exactly where 100% bonus depreciation now lives, if the bonus rules are met.</w:t>
      </w:r>
    </w:p>
    <w:p>
      <w:r>
        <w:rPr>
          <w:b/>
          <w:sz w:val="26"/>
        </w:rPr>
        <w:t>Illustrative Example – $2M Multifamily Purchase</w:t>
      </w:r>
    </w:p>
    <w:p>
      <w:r>
        <w:t>Assume you buy an apartment building for $2,000,000 under the new rules. A quality cost segregation study finds:</w:t>
      </w:r>
    </w:p>
    <w:p>
      <w:pPr>
        <w:pStyle w:val="ListBullet"/>
      </w:pPr>
      <w:r>
        <w:t>$1,350,000 is true 27.5-year structural building.</w:t>
      </w:r>
    </w:p>
    <w:p>
      <w:pPr>
        <w:pStyle w:val="ListBullet"/>
      </w:pPr>
      <w:r>
        <w:t>$650,000 is 5-, 7-, or 15-year property (appliances, finishes, site work) that qualifies for 100% bonus.</w:t>
      </w:r>
    </w:p>
    <w:p/>
    <w:tbl>
      <w:tblPr>
        <w:tblStyle w:val="TableGrid"/>
        <w:tblW w:type="auto" w:w="0"/>
        <w:tblLook w:firstColumn="1" w:firstRow="1" w:lastColumn="0" w:lastRow="0" w:noHBand="0" w:noVBand="1" w:val="04A0"/>
      </w:tblPr>
      <w:tblGrid>
        <w:gridCol w:w="4320"/>
        <w:gridCol w:w="4320"/>
      </w:tblGrid>
      <w:tr>
        <w:tc>
          <w:tcPr>
            <w:tcW w:type="dxa" w:w="4320"/>
          </w:tcPr>
          <w:p>
            <w:r>
              <w:t>Scenario</w:t>
            </w:r>
          </w:p>
        </w:tc>
        <w:tc>
          <w:tcPr>
            <w:tcW w:type="dxa" w:w="4320"/>
          </w:tcPr>
          <w:p>
            <w:r>
              <w:t>Year-1 Depreciation Snapshot (simplified)</w:t>
            </w:r>
          </w:p>
        </w:tc>
      </w:tr>
      <w:tr>
        <w:tc>
          <w:tcPr>
            <w:tcW w:type="dxa" w:w="4320"/>
          </w:tcPr>
          <w:p>
            <w:r>
              <w:t>Without Cost Seg + Bonus</w:t>
            </w:r>
          </w:p>
        </w:tc>
        <w:tc>
          <w:tcPr>
            <w:tcW w:type="dxa" w:w="4320"/>
          </w:tcPr>
          <w:p>
            <w:r>
              <w:t>Entire $2,000,000 treated as 27.5-year building.</w:t>
              <w:br/>
              <w:t>Annual depreciation ≈ $72,700 per year.</w:t>
            </w:r>
          </w:p>
        </w:tc>
      </w:tr>
      <w:tr>
        <w:tc>
          <w:tcPr>
            <w:tcW w:type="dxa" w:w="4320"/>
          </w:tcPr>
          <w:p>
            <w:r>
              <w:t>With Cost Seg + 100% Bonus on $650,000</w:t>
            </w:r>
          </w:p>
        </w:tc>
        <w:tc>
          <w:tcPr>
            <w:tcW w:type="dxa" w:w="4320"/>
          </w:tcPr>
          <w:p>
            <w:r>
              <w:t>Year-1 deduction includes the full $650,000 bonus on short-life property, plus regular depreciation on the remaining $1,350,000.</w:t>
              <w:br/>
              <w:t>At a 35% combined rate, the $650,000 bonus deduction alone could reduce tax by ≈ $227,500 in that year.</w:t>
            </w:r>
          </w:p>
        </w:tc>
      </w:tr>
    </w:tbl>
    <w:p>
      <w:r>
        <w:t>Same property, same purchase price — very different cash-flow impact depending on whether you separate the parts or leave everything as “building.”</w:t>
      </w:r>
    </w:p>
    <w:p>
      <w:r>
        <w:rPr>
          <w:b/>
          <w:sz w:val="26"/>
        </w:rPr>
        <w:t>Key Action Steps for Investors &amp; Landlords</w:t>
      </w:r>
    </w:p>
    <w:p>
      <w:pPr>
        <w:pStyle w:val="ListBullet"/>
      </w:pPr>
      <w:r>
        <w:t>Treat every acquisition or major renovation as a mix of parts, not one “building” number.</w:t>
      </w:r>
    </w:p>
    <w:p>
      <w:pPr>
        <w:pStyle w:val="ListBullet"/>
      </w:pPr>
      <w:r>
        <w:t>Focus on properties with significant site work and interior upgrades (parking, landscaping, lighting, new kitchens, appliances, built-ins).</w:t>
      </w:r>
    </w:p>
    <w:p>
      <w:pPr>
        <w:pStyle w:val="ListBullet"/>
      </w:pPr>
      <w:r>
        <w:t>Ask contractors for broken-out bids and keep invoices and photos that show what was actually done.</w:t>
      </w:r>
    </w:p>
    <w:p>
      <w:pPr>
        <w:pStyle w:val="ListBullet"/>
      </w:pPr>
      <w:r>
        <w:t>Before filing a return, ask your tax pro: “Is a cost seg study or planning-level analysis worth it on this property?”</w:t>
      </w:r>
    </w:p>
    <w:p>
      <w:pPr>
        <w:pStyle w:val="ListBullet"/>
      </w:pPr>
      <w:r>
        <w:t>Think ahead to big-income years (liquidity events, big bonuses, business profits) and whether a cost seg + bonus project should line up with those years.</w:t>
      </w:r>
    </w:p>
    <w:p>
      <w:r>
        <w:rPr>
          <w:b/>
          <w:sz w:val="26"/>
        </w:rPr>
        <w:t>Key Action Steps for Tax Pros &amp; Advisors</w:t>
      </w:r>
    </w:p>
    <w:p>
      <w:pPr>
        <w:pStyle w:val="ListBullet"/>
      </w:pPr>
      <w:r>
        <w:t>Add specific real-estate questions to organizers and planning meetings (site work, build-outs, major renovations).</w:t>
      </w:r>
    </w:p>
    <w:p>
      <w:pPr>
        <w:pStyle w:val="ListBullet"/>
      </w:pPr>
      <w:r>
        <w:t>Build a simple feasibility screen: property type, total cost, likely short-life percentage, and client tax bracket.</w:t>
      </w:r>
    </w:p>
    <w:p>
      <w:pPr>
        <w:pStyle w:val="ListBullet"/>
      </w:pPr>
      <w:r>
        <w:t>Use planning tools to estimate the impact of 100% bonus before recommending a full engineering study.</w:t>
      </w:r>
    </w:p>
    <w:p>
      <w:pPr>
        <w:pStyle w:val="ListBullet"/>
      </w:pPr>
      <w:r>
        <w:t>Coordinate cost seg and bonus with REP/STR strategy, grouping elections, and multi-year income planning.</w:t>
      </w:r>
    </w:p>
    <w:p>
      <w:pPr>
        <w:pStyle w:val="ListBullet"/>
      </w:pPr>
      <w:r>
        <w:t>Make “real estate events” a recurring part of your annual year-end planning review.</w:t>
      </w:r>
    </w:p>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