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M0 L3 Handout</w:t>
      </w:r>
    </w:p>
    <w:p>
      <w:r>
        <w:rPr>
          <w:b/>
          <w:sz w:val="28"/>
        </w:rPr>
        <w:t>What Cost Segregation Actually Does for You (In a Big Beautiful Tax Bill World)</w:t>
      </w:r>
    </w:p>
    <w:p>
      <w:r>
        <w:rPr>
          <w:b/>
          <w:sz w:val="26"/>
        </w:rPr>
        <w:t>Big Idea</w:t>
      </w:r>
    </w:p>
    <w:p>
      <w:r>
        <w:t>Cost segregation is not about inventing new deductions — it’s about moving parts of your building out of the slow 27.5- or 39-year bucket and into faster 5-, 7-, and 15-year buckets the tax rules already allow. In a Big Beautiful Tax Bill environment, that timing shift can create very large early-year depreciation deductions when used thoughtfully.</w:t>
      </w:r>
    </w:p>
    <w:p>
      <w:r>
        <w:rPr>
          <w:b/>
          <w:sz w:val="26"/>
        </w:rPr>
        <w:t>Key Concepts – Quick Snapshot</w:t>
      </w:r>
    </w:p>
    <w:p>
      <w:pPr>
        <w:pStyle w:val="ListBullet"/>
      </w:pPr>
      <w:r>
        <w:t>Default treatment is simple but lazy: land (no depreciation) and one big 27.5- or 39-year “building” bucket.</w:t>
      </w:r>
    </w:p>
    <w:p>
      <w:pPr>
        <w:pStyle w:val="ListBullet"/>
      </w:pPr>
      <w:r>
        <w:t>Real buildings contain components with different lives: short-life items (5-, 7-, 15-year) and long-life shell (27.5- or 39-year).</w:t>
      </w:r>
    </w:p>
    <w:p>
      <w:pPr>
        <w:pStyle w:val="ListBullet"/>
      </w:pPr>
      <w:r>
        <w:t>Cost segregation is the process of peeling the building apart on paper and assigning dollars to the correct life buckets.</w:t>
      </w:r>
    </w:p>
    <w:p>
      <w:pPr>
        <w:pStyle w:val="ListBullet"/>
      </w:pPr>
      <w:r>
        <w:t>Under current rules, many 5-, 7-, and 15-year assets can qualify for very accelerated depreciation, including full first-year write-offs when requirements are met.</w:t>
      </w:r>
    </w:p>
    <w:p>
      <w:pPr>
        <w:pStyle w:val="ListBullet"/>
      </w:pPr>
      <w:r>
        <w:t>Total depreciation over the property’s life does not change — only the timing of when you claim it.</w:t>
      </w:r>
    </w:p>
    <w:p>
      <w:pPr>
        <w:pStyle w:val="ListBullet"/>
      </w:pPr>
      <w:r>
        <w:t>The value of cost seg depends on your actual situation: income level, status under the real estate professional and short-term rental rules, and long-term plans for the property.</w:t>
      </w:r>
    </w:p>
    <w:p>
      <w:r>
        <w:rPr>
          <w:b/>
          <w:sz w:val="26"/>
        </w:rPr>
        <w:t>Where Cost Seg Fits in Your Strategy</w:t>
      </w:r>
    </w:p>
    <w:p>
      <w:r>
        <w:t>Cost segregation is a timing and planning tool. It can dramatically increase depreciation deductions in the early years of owning or improving a property, which matters most when you’re in a high tax bracket or facing unusually high income. Used well, it becomes a core part of multi-year planning for both investors and advisors.</w:t>
      </w:r>
    </w:p>
    <w:p>
      <w:pPr>
        <w:pStyle w:val="ListBullet"/>
      </w:pPr>
      <w:r>
        <w:t>For real estate professionals, cost seg can help turn large rehab or acquisition costs into deductions that offset high household income.</w:t>
      </w:r>
    </w:p>
    <w:p>
      <w:pPr>
        <w:pStyle w:val="ListBullet"/>
      </w:pPr>
      <w:r>
        <w:t>For short-term rental owners who materially participate, accelerated depreciation can help offset other non-passive income when rules are met.</w:t>
      </w:r>
    </w:p>
    <w:p>
      <w:pPr>
        <w:pStyle w:val="ListBullet"/>
      </w:pPr>
      <w:r>
        <w:t>For passive investors, front-loaded depreciation may still be useful to offset other passive income or prepare for future deals.</w:t>
      </w:r>
    </w:p>
    <w:p>
      <w:pPr>
        <w:pStyle w:val="ListBullet"/>
      </w:pPr>
      <w:r>
        <w:t>For business owners who own their building, cost seg can soften the tax impact of expansions and build-outs by accelerating the write-off of improvements.</w:t>
      </w:r>
    </w:p>
    <w:p>
      <w:pPr>
        <w:pStyle w:val="ListBullet"/>
      </w:pPr>
      <w:r>
        <w:t>For tax pros, cost seg is a way to match big deductions with high-income years, business events, and client scaling plans.</w:t>
      </w:r>
    </w:p>
    <w:p>
      <w:r>
        <w:rPr>
          <w:b/>
          <w:sz w:val="26"/>
        </w:rPr>
        <w:t>Illustrative Example – $600,000 Rental Property</w:t>
      </w:r>
    </w:p>
    <w:p>
      <w:r>
        <w:t>Assume a residential rental is purchased for $600,000. You allocate $100,000 to land (not depreciable) and $500,000 to depreciable building and improvements. Here’s the difference between leaving everything in one long-life bucket and properly classifying short-life components under current rules.</w:t>
      </w:r>
    </w:p>
    <w:tbl>
      <w:tblPr>
        <w:tblStyle w:val="TableGrid"/>
        <w:tblW w:type="auto" w:w="0"/>
        <w:tblLook w:firstColumn="1" w:firstRow="1" w:lastColumn="0" w:lastRow="0" w:noHBand="0" w:noVBand="1" w:val="04A0"/>
      </w:tblPr>
      <w:tblGrid>
        <w:gridCol w:w="4320"/>
        <w:gridCol w:w="4320"/>
      </w:tblGrid>
      <w:tr>
        <w:tc>
          <w:tcPr>
            <w:tcW w:type="dxa" w:w="4320"/>
          </w:tcPr>
          <w:p>
            <w:r>
              <w:t>Without Cost Seg (All 27.5-Year)</w:t>
            </w:r>
          </w:p>
        </w:tc>
        <w:tc>
          <w:tcPr>
            <w:tcW w:type="dxa" w:w="4320"/>
          </w:tcPr>
          <w:p>
            <w:r>
              <w:t>With Cost Seg + Bonus on Short-Life Assets</w:t>
            </w:r>
          </w:p>
        </w:tc>
      </w:tr>
      <w:tr>
        <w:tc>
          <w:tcPr>
            <w:tcW w:type="dxa" w:w="4320"/>
          </w:tcPr>
          <w:p>
            <w:r>
              <w:t>All $500,000 treated as 27.5-year residential rental property.</w:t>
              <w:br/>
              <w:t>Approximate year-one depreciation: $18,180.</w:t>
            </w:r>
          </w:p>
        </w:tc>
        <w:tc>
          <w:tcPr>
            <w:tcW w:type="dxa" w:w="4320"/>
          </w:tcPr>
          <w:p>
            <w:r>
              <w:t>$350,000 classified as 27.5-year building shell.</w:t>
              <w:br/>
              <w:t>$100,000 classified as 5-year property.</w:t>
              <w:br/>
              <w:t>$50,000 classified as 15-year improvements.</w:t>
              <w:br/>
              <w:t>Approximate year-one depreciation:</w:t>
              <w:br/>
              <w:t>• ~$12,727 on building shell, plus</w:t>
              <w:br/>
              <w:t>• Up to $150,000 accelerated on short-life property (if requirements for bonus are met).</w:t>
            </w:r>
          </w:p>
        </w:tc>
      </w:tr>
    </w:tbl>
    <w:p>
      <w:r>
        <w:t>Same total depreciation over the life of the property, but very different timing. In years where your tax rate or income is high, that timing difference can create a meaningful cash-flow advantage.</w:t>
      </w:r>
    </w:p>
    <w:p>
      <w:r>
        <w:rPr>
          <w:b/>
          <w:sz w:val="26"/>
        </w:rPr>
        <w:t>Key Action Steps for Investors &amp; Landlords</w:t>
      </w:r>
    </w:p>
    <w:p>
      <w:pPr>
        <w:pStyle w:val="ListBullet"/>
      </w:pPr>
      <w:r>
        <w:t>Pick one property you own or are considering and sketch it as “one big building box” versus multiple boxes for 5-, 7-, 15-, and 27.5-year components.</w:t>
      </w:r>
    </w:p>
    <w:p>
      <w:pPr>
        <w:pStyle w:val="ListBullet"/>
      </w:pPr>
      <w:r>
        <w:t>List obvious short-life items: appliances, parking, sidewalks, fences, exterior lighting, upgraded finishes, and specialized equipment.</w:t>
      </w:r>
    </w:p>
    <w:p>
      <w:pPr>
        <w:pStyle w:val="ListBullet"/>
      </w:pPr>
      <w:r>
        <w:t>Ask whether you expect high income in the near term (current or next tax year) where front-loaded depreciation would actually matter.</w:t>
      </w:r>
    </w:p>
    <w:p>
      <w:pPr>
        <w:pStyle w:val="ListBullet"/>
      </w:pPr>
      <w:r>
        <w:t>Think about your status under the real estate professional and short-term rental rules before assuming large losses will offset non-rental income.</w:t>
      </w:r>
    </w:p>
    <w:p>
      <w:pPr>
        <w:pStyle w:val="ListBullet"/>
      </w:pPr>
      <w:r>
        <w:t>Build cost segregation into your acquisition and renovation planning instead of waiting until after a project is finished.</w:t>
      </w:r>
    </w:p>
    <w:p>
      <w:r>
        <w:rPr>
          <w:b/>
          <w:sz w:val="26"/>
        </w:rPr>
        <w:t>Key Action Steps for Tax Pros &amp; Advisors</w:t>
      </w:r>
    </w:p>
    <w:p>
      <w:pPr>
        <w:pStyle w:val="ListBullet"/>
      </w:pPr>
      <w:r>
        <w:t>Identify clients with recent or upcoming acquisitions or major renovations where short-life components are significant.</w:t>
      </w:r>
    </w:p>
    <w:p>
      <w:pPr>
        <w:pStyle w:val="ListBullet"/>
      </w:pPr>
      <w:r>
        <w:t>Match potential cost seg projects to high-income years, business sales, stock option exercises, or unusually strong profit periods.</w:t>
      </w:r>
    </w:p>
    <w:p>
      <w:pPr>
        <w:pStyle w:val="ListBullet"/>
      </w:pPr>
      <w:r>
        <w:t>Develop a simple feasibility checklist: property type, size, improvement mix, and client income profile.</w:t>
      </w:r>
    </w:p>
    <w:p>
      <w:pPr>
        <w:pStyle w:val="ListBullet"/>
      </w:pPr>
      <w:r>
        <w:t>Build a routine for reviewing new projects with a cost seg lens instead of defaulting everything to “building – 27.5/39 years.”</w:t>
      </w:r>
    </w:p>
    <w:p>
      <w:pPr>
        <w:pStyle w:val="ListBullet"/>
      </w:pPr>
      <w:r>
        <w:t>Educate clients that cost seg changes timing, not total deductions, and that results depend on passive loss and participation rules.</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