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M0 L4 Handout</w:t>
      </w:r>
    </w:p>
    <w:p>
      <w:r>
        <w:rPr>
          <w:b/>
          <w:sz w:val="28"/>
        </w:rPr>
        <w:t>Who Cost Seg Works For — And Who Should Pause</w:t>
      </w:r>
    </w:p>
    <w:p>
      <w:r>
        <w:rPr>
          <w:b/>
          <w:sz w:val="26"/>
        </w:rPr>
        <w:t>Big Idea</w:t>
      </w:r>
    </w:p>
    <w:p>
      <w:r>
        <w:t>Cost segregation plus permanent 100% bonus depreciation can be a powerful tax tool, but it only delivers real savings for certain investor profiles. The goal of this lesson is to help you honestly place yourself or your clients into “green light” profiles that can use large deductions now versus “yellow light” profiles that should slow down, plan, and possibly wait before paying for a study.</w:t>
      </w:r>
    </w:p>
    <w:p>
      <w:r>
        <w:rPr>
          <w:b/>
          <w:sz w:val="26"/>
        </w:rPr>
        <w:t>Key Concepts / Quick Snapshot</w:t>
      </w:r>
    </w:p>
    <w:p>
      <w:pPr>
        <w:pStyle w:val="ListBullet"/>
      </w:pPr>
      <w:r>
        <w:t>100% bonus depreciation is back and permanently available for many assets with a recovery period of 20 years or less, allowing very large first‑year deductions.</w:t>
      </w:r>
    </w:p>
    <w:p>
      <w:pPr>
        <w:pStyle w:val="ListBullet"/>
      </w:pPr>
      <w:r>
        <w:t>Cost segregation tells you how fast you are allowed to deduct qualifying components; the passive activity, Real Estate Professional (REP), and short‑term rental (STR) rules decide how much of that loss you can actually use each year.</w:t>
      </w:r>
    </w:p>
    <w:p>
      <w:pPr>
        <w:pStyle w:val="ListBullet"/>
      </w:pPr>
      <w:r>
        <w:t>Green light profiles: REP households who materially participate, hands‑on STR owners, passive investors who already have passive income, and business owners who own the building their operating company uses.</w:t>
      </w:r>
    </w:p>
    <w:p>
      <w:pPr>
        <w:pStyle w:val="ListBullet"/>
      </w:pPr>
      <w:r>
        <w:t>Yellow light profiles: new or small landlords with no passive income, and short‑hold investors planning quick flips with no 1031 exchange or structured exit plan.</w:t>
      </w:r>
    </w:p>
    <w:p>
      <w:pPr>
        <w:pStyle w:val="ListBullet"/>
      </w:pPr>
      <w:r>
        <w:t>The same cost seg study can create dramatic current tax savings for one profile and mostly suspended passive losses for another—facts and status matter more than the property itself.</w:t>
      </w:r>
    </w:p>
    <w:p>
      <w:pPr>
        <w:pStyle w:val="ListBullet"/>
      </w:pPr>
      <w:r>
        <w:t>Law changes may tweak bonus percentages and timing, but the core logic of classifying components and matching deductions to your profile and holding period continues to matter.</w:t>
      </w:r>
    </w:p>
    <w:p>
      <w:r>
        <w:rPr>
          <w:b/>
          <w:sz w:val="26"/>
        </w:rPr>
        <w:t>Where Cost Seg Fits</w:t>
      </w:r>
    </w:p>
    <w:p>
      <w:r>
        <w:t>Cost segregation is best thought of as a timing lever for depreciation. It accelerates deductions on shorter‑life components (5‑, 7‑, 15‑year property and land improvements) so that you claim more depreciation in the early years of ownership. Under the current rules, those components can often qualify for 100% bonus depreciation, but whether this turns into real tax savings depends on how the losses interact with the REP, STR, and passive activity rules.</w:t>
      </w:r>
    </w:p>
    <w:p>
      <w:pPr>
        <w:pStyle w:val="ListBullet"/>
      </w:pPr>
      <w:r>
        <w:t>For REP households and qualifying STRs, cost seg can generate non‑passive or usable losses that offset W‑2 wages, business income, and other highly taxed earnings in the same year.</w:t>
      </w:r>
    </w:p>
    <w:p>
      <w:pPr>
        <w:pStyle w:val="ListBullet"/>
      </w:pPr>
      <w:r>
        <w:t>For passive investors with strong passive income, cost seg can be used to flatten or neutralize tax on profitable K‑1s and mature rental portfolios over several years.</w:t>
      </w:r>
    </w:p>
    <w:p>
      <w:pPr>
        <w:pStyle w:val="ListBullet"/>
      </w:pPr>
      <w:r>
        <w:t>For owner‑occupied commercial real estate, cost seg helps align big build‑out or expansion costs with high‑profit years in the operating company.</w:t>
      </w:r>
    </w:p>
    <w:p>
      <w:pPr>
        <w:pStyle w:val="ListBullet"/>
      </w:pPr>
      <w:r>
        <w:t>For early‑stage landlords with no passive income or short‑term flippers without exchanges, cost seg is usually a longer‑term play—most of the benefit shows up as suspended passive losses that may only matter when income grows or properties are sold.</w:t>
      </w:r>
    </w:p>
    <w:p>
      <w:r>
        <w:rPr>
          <w:b/>
          <w:sz w:val="26"/>
        </w:rPr>
        <w:t>Illustrative Example: Same Property, Different Outcomes</w:t>
      </w:r>
    </w:p>
    <w:p>
      <w:r>
        <w:t>Assume two investors buy the same small apartment building. Each spends $10,000 on a cost segregation study that identifies $250,000 of shorter‑life property that qualifies for 100% bonus depreciation in Year 1. Both generate a $250,000 paper loss from depreciation, but their tax results are very different:</w:t>
      </w:r>
    </w:p>
    <w:tbl>
      <w:tblPr>
        <w:tblStyle w:val="TableGrid"/>
        <w:tblW w:type="auto" w:w="0"/>
        <w:tblLook w:firstColumn="1" w:firstRow="1" w:lastColumn="0" w:lastRow="0" w:noHBand="0" w:noVBand="1" w:val="04A0"/>
      </w:tblPr>
      <w:tblGrid>
        <w:gridCol w:w="4320"/>
        <w:gridCol w:w="4320"/>
      </w:tblGrid>
      <w:tr>
        <w:tc>
          <w:tcPr>
            <w:tcW w:type="dxa" w:w="4320"/>
          </w:tcPr>
          <w:p>
            <w:r>
              <w:t>Investor A – REP With High W‑2/Business Income</w:t>
            </w:r>
          </w:p>
        </w:tc>
        <w:tc>
          <w:tcPr>
            <w:tcW w:type="dxa" w:w="4320"/>
          </w:tcPr>
          <w:p>
            <w:r>
              <w:t>Investor B – New Landlord With No Passive Income</w:t>
            </w:r>
          </w:p>
        </w:tc>
      </w:tr>
      <w:tr>
        <w:tc>
          <w:tcPr>
            <w:tcW w:type="dxa" w:w="4320"/>
          </w:tcPr>
          <w:p>
            <w:r>
              <w:t>Qualifies as a Real Estate Professional and materially participates in rentals. Rental activity is treated as non‑passive.</w:t>
            </w:r>
          </w:p>
        </w:tc>
        <w:tc>
          <w:tcPr>
            <w:tcW w:type="dxa" w:w="4320"/>
          </w:tcPr>
          <w:p>
            <w:r>
              <w:t>Owns one or two rentals, does not qualify as REP, and has no other passive income. Rental activity is passive.</w:t>
            </w:r>
          </w:p>
        </w:tc>
      </w:tr>
      <w:tr>
        <w:tc>
          <w:tcPr>
            <w:tcW w:type="dxa" w:w="4320"/>
          </w:tcPr>
          <w:p>
            <w:r>
              <w:t>The $250,000 loss can offset W‑2 and business income, cutting current‑year tax by potentially tens of thousands of dollars (depending on rates). The cost seg study can pay for itself quickly.</w:t>
            </w:r>
          </w:p>
        </w:tc>
        <w:tc>
          <w:tcPr>
            <w:tcW w:type="dxa" w:w="4320"/>
          </w:tcPr>
          <w:p>
            <w:r>
              <w:t>The $250,000 loss is mostly a suspended passive loss carryforward. Current‑year tax barely changes, and the benefit will only show up later as rentals generate income or the property is ultimately sold.</w:t>
            </w:r>
          </w:p>
        </w:tc>
      </w:tr>
    </w:tbl>
    <w:p>
      <w:r>
        <w:t>Both investors own the same property and pay for the same study. The difference is not the building—it is their status under the REP and passive activity rules and whether they have income the loss can actually offset.</w:t>
      </w:r>
    </w:p>
    <w:p>
      <w:r>
        <w:rPr>
          <w:b/>
          <w:sz w:val="26"/>
        </w:rPr>
        <w:t>Key Action Steps for Investors &amp; Landlords</w:t>
      </w:r>
    </w:p>
    <w:p>
      <w:pPr>
        <w:pStyle w:val="ListBullet"/>
      </w:pPr>
      <w:r>
        <w:t>Identify which bucket you are in today: REP household, hands‑on STR owner, passive investor with income, owner‑occupied business, early‑stage landlord, or short‑term flipper.</w:t>
      </w:r>
    </w:p>
    <w:p>
      <w:pPr>
        <w:pStyle w:val="ListBullet"/>
      </w:pPr>
      <w:r>
        <w:t>Estimate whether a large Year‑1 loss from cost seg would actually offset current income or simply be suspended as a passive loss carryforward.</w:t>
      </w:r>
    </w:p>
    <w:p>
      <w:pPr>
        <w:pStyle w:val="ListBullet"/>
      </w:pPr>
      <w:r>
        <w:t>Consider your realistic holding period and exit plan—long‑term hold with potential exchanges versus quick sale without a 1031.</w:t>
      </w:r>
    </w:p>
    <w:p>
      <w:pPr>
        <w:pStyle w:val="ListBullet"/>
      </w:pPr>
      <w:r>
        <w:t>If you are close to REP or STR material participation thresholds, decide whether it is worth documenting hours and tightening facts before doing a study.</w:t>
      </w:r>
    </w:p>
    <w:p>
      <w:pPr>
        <w:pStyle w:val="ListBullet"/>
      </w:pPr>
      <w:r>
        <w:t>Model cash‑flow impact, not just paper losses: factor in the study fee, any tax savings, and what happens in later years when depreciation is lower.</w:t>
      </w:r>
    </w:p>
    <w:p>
      <w:pPr>
        <w:pStyle w:val="ListBullet"/>
      </w:pPr>
      <w:r>
        <w:t>If you are a yellow‑light profile, focus first on building passive income, clarifying your exit strategy, and then revisit cost seg as part of a multi‑year plan.</w:t>
      </w:r>
    </w:p>
    <w:p>
      <w:r>
        <w:rPr>
          <w:b/>
          <w:sz w:val="26"/>
        </w:rPr>
        <w:t>Key Action Steps for Tax Pros &amp; Advisors</w:t>
      </w:r>
    </w:p>
    <w:p>
      <w:pPr>
        <w:pStyle w:val="ListBullet"/>
      </w:pPr>
      <w:r>
        <w:t>Segment clients into clear profiles (REP, STR, passive‑with‑income, early‑stage landlords, flippers, owner‑occupied buildings) before discussing cost seg.</w:t>
      </w:r>
    </w:p>
    <w:p>
      <w:pPr>
        <w:pStyle w:val="ListBullet"/>
      </w:pPr>
      <w:r>
        <w:t>Use simple models to show how a proposed cost seg study would affect current‑year tax versus creating suspended passive losses.</w:t>
      </w:r>
    </w:p>
    <w:p>
      <w:pPr>
        <w:pStyle w:val="ListBullet"/>
      </w:pPr>
      <w:r>
        <w:t>Document REP and STR material participation carefully for green‑light clients so that large losses are defensible if examined.</w:t>
      </w:r>
    </w:p>
    <w:p>
      <w:pPr>
        <w:pStyle w:val="ListBullet"/>
      </w:pPr>
      <w:r>
        <w:t>Flag short‑hold clients and flippers as timing‑trade situations and walk them through recapture and gain impacts at exit.</w:t>
      </w:r>
    </w:p>
    <w:p>
      <w:pPr>
        <w:pStyle w:val="ListBullet"/>
      </w:pPr>
      <w:r>
        <w:t>Coordinate cost seg recommendations with broader planning strategies such as 1031 exchanges, entity structure, and financing plans.</w:t>
      </w:r>
    </w:p>
    <w:p>
      <w:pPr>
        <w:pStyle w:val="ListBullet"/>
      </w:pPr>
      <w:r>
        <w:t>Develop a repeatable checklist or intake questionnaire so every new real estate client is screened for where cost seg might fit in their multi‑year plan.</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