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CS – M0 L5 Handout</w:t>
      </w:r>
    </w:p>
    <w:p>
      <w:pPr>
        <w:jc w:val="center"/>
      </w:pPr>
      <w:r>
        <w:rPr>
          <w:b/>
          <w:sz w:val="28"/>
        </w:rPr>
        <w:t>How This Course Is Structured for the New Rules</w:t>
      </w:r>
    </w:p>
    <w:p/>
    <w:p>
      <w:r>
        <w:rPr>
          <w:b/>
          <w:sz w:val="26"/>
        </w:rPr>
        <w:t>Big Idea</w:t>
      </w:r>
    </w:p>
    <w:p>
      <w:r>
        <w:t>This lesson gives you the roadmap for the entire cost segregation course under the post–Big Beautiful Tax Bill rules. Once you understand how the modules fit together, you can jump to the lessons that matter most for your situation—whether you’re an investor, landlord, business owner, or tax pro—and start using 100% bonus depreciation in a focused, strategic way.</w:t>
      </w:r>
    </w:p>
    <w:p>
      <w:r>
        <w:rPr>
          <w:b/>
          <w:sz w:val="26"/>
        </w:rPr>
        <w:t>Key Concepts / Quick Snapshot</w:t>
      </w:r>
    </w:p>
    <w:p>
      <w:pPr>
        <w:pStyle w:val="ListBullet"/>
      </w:pPr>
      <w:r>
        <w:t>The course is built for the post–Big Beautiful Tax Bill environment, assuming 100% bonus depreciation on most MACRS property with a recovery period of 20 years or less acquired and placed in service after January 19, 2025.</w:t>
      </w:r>
    </w:p>
    <w:p>
      <w:pPr>
        <w:pStyle w:val="ListBullet"/>
      </w:pPr>
      <w:r>
        <w:t>Cost segregation is treated as a normal, expected process for properly classifying assets, aligned with IRS training materials—not a loophole.</w:t>
      </w:r>
    </w:p>
    <w:p>
      <w:pPr>
        <w:pStyle w:val="ListBullet"/>
      </w:pPr>
      <w:r>
        <w:t>Modules 1–3 form the foundation and strategy track: fundamentals, profiles and planning strategy, and turning concepts into numbers.</w:t>
      </w:r>
    </w:p>
    <w:p>
      <w:pPr>
        <w:pStyle w:val="ListBullet"/>
      </w:pPr>
      <w:r>
        <w:t>Advanced Modules A–D are for deeper technical learning and practice-building: quality studies, real client fact patterns, integrating cost seg into advisory work, and adapting if bonus changes in the future.</w:t>
      </w:r>
    </w:p>
    <w:p>
      <w:pPr>
        <w:pStyle w:val="ListBullet"/>
      </w:pPr>
      <w:r>
        <w:t>Different audiences (investors, tax pros, agents/property managers) can and should navigate the course differently, using it like a toolbox rather than a rigid linear path.</w:t>
      </w:r>
    </w:p>
    <w:p>
      <w:pPr>
        <w:pStyle w:val="ListBullet"/>
      </w:pPr>
      <w:r>
        <w:t>Resources inside the course (checklists, templates, example summaries) are planning tools designed to help you translate ideas into cash flow projections, not replacements for formal engineering-based studies when those are needed.</w:t>
      </w:r>
    </w:p>
    <w:p>
      <w:r>
        <w:rPr>
          <w:b/>
          <w:sz w:val="26"/>
        </w:rPr>
        <w:t>Where Cost Seg Fits in This Lesson</w:t>
      </w:r>
    </w:p>
    <w:p>
      <w:r>
        <w:t>This lesson shows you where cost segregation fits into your bigger tax planning picture. By mapping out the modules around the new 100% bonus rules, you can see how classification work, timing decisions, and planning templates all connect to your real-world goals.</w:t>
      </w:r>
    </w:p>
    <w:p>
      <w:pPr>
        <w:pStyle w:val="ListBullet"/>
      </w:pPr>
      <w:r>
        <w:t>Modules 1–3 help you see buildings as bundles of components with different recovery periods and show how 100% bonus supercharges short-life assets.</w:t>
      </w:r>
    </w:p>
    <w:p>
      <w:pPr>
        <w:pStyle w:val="ListBullet"/>
      </w:pPr>
      <w:r>
        <w:t>Strategy lessons highlight how cost seg planning looks for different profiles: REP households, STR owners, small landlords, and business owners who own their buildings.</w:t>
      </w:r>
    </w:p>
    <w:p>
      <w:pPr>
        <w:pStyle w:val="ListBullet"/>
      </w:pPr>
      <w:r>
        <w:t>Advanced modules show tax pros how to integrate cost seg into engagement letters, annual planning, and multi-year projections.</w:t>
      </w:r>
    </w:p>
    <w:p>
      <w:pPr>
        <w:pStyle w:val="ListBullet"/>
      </w:pPr>
      <w:r>
        <w:t>The entire structure is meant to be future-ready: even if bonus percentages change, the way you classify property and plan around it still applies.</w:t>
      </w:r>
    </w:p>
    <w:p>
      <w:r>
        <w:rPr>
          <w:b/>
          <w:sz w:val="26"/>
        </w:rPr>
        <w:t>Illustrative Example – Using the Course Roadmap</w:t>
      </w:r>
    </w:p>
    <w:p>
      <w:r>
        <w:t>Imagine a small landlord who just bought a mixed-use building in late 2025. They want to know whether cost segregation is worth pursuing and how to time future renovations. Using this course roadmap, they can quickly decide which lessons to watch first and how to use the templates to model cash flow under the new 100% bonus rules.</w:t>
      </w:r>
    </w:p>
    <w:tbl>
      <w:tblPr>
        <w:tblStyle w:val="TableGrid"/>
        <w:tblW w:type="auto" w:w="0"/>
        <w:tblLook w:firstColumn="1" w:firstRow="1" w:lastColumn="0" w:lastRow="0" w:noHBand="0" w:noVBand="1" w:val="04A0"/>
      </w:tblPr>
      <w:tblGrid>
        <w:gridCol w:w="4320"/>
        <w:gridCol w:w="4320"/>
      </w:tblGrid>
      <w:tr>
        <w:tc>
          <w:tcPr>
            <w:tcW w:type="dxa" w:w="4320"/>
          </w:tcPr>
          <w:p>
            <w:r>
              <w:t>Without a Course Roadmap</w:t>
            </w:r>
          </w:p>
        </w:tc>
        <w:tc>
          <w:tcPr>
            <w:tcW w:type="dxa" w:w="4320"/>
          </w:tcPr>
          <w:p>
            <w:r>
              <w:t>With This Structured Course</w:t>
            </w:r>
          </w:p>
        </w:tc>
      </w:tr>
      <w:tr>
        <w:tc>
          <w:tcPr>
            <w:tcW w:type="dxa" w:w="4320"/>
          </w:tcPr>
          <w:p>
            <w:r>
              <w:t>Randomly watches cost seg videos; unsure which concepts matter for rentals vs business property; does not clearly understand how 100% bonus interacts with different asset lives.</w:t>
            </w:r>
          </w:p>
        </w:tc>
        <w:tc>
          <w:tcPr>
            <w:tcW w:type="dxa" w:w="4320"/>
          </w:tcPr>
          <w:p>
            <w:r>
              <w:t>Starts with Modules 1–3 for fundamentals and strategy, then uses the templates to model deductions on the new building; can quickly see how a formal study or planned renovations might accelerate deductions under the current rules.</w:t>
            </w:r>
          </w:p>
        </w:tc>
      </w:tr>
    </w:tbl>
    <w:p>
      <w:r>
        <w:rPr>
          <w:b/>
          <w:sz w:val="26"/>
        </w:rPr>
        <w:t>Key Action Steps for Investors &amp; Landlords</w:t>
      </w:r>
    </w:p>
    <w:p>
      <w:pPr>
        <w:pStyle w:val="ListBullet"/>
      </w:pPr>
      <w:r>
        <w:t>Review the course outline and mark Modules 1–3 as your starting point for fundamentals and strategy.</w:t>
      </w:r>
    </w:p>
    <w:p>
      <w:pPr>
        <w:pStyle w:val="ListBullet"/>
      </w:pPr>
      <w:r>
        <w:t>Identify which investor profile in Module 2 best matches your situation (REP, STR, small landlord, or business owner with a building).</w:t>
      </w:r>
    </w:p>
    <w:p>
      <w:pPr>
        <w:pStyle w:val="ListBullet"/>
      </w:pPr>
      <w:r>
        <w:t>Plan to watch the example lessons in Module 3 while you have the sample templates or your own numbers open.</w:t>
      </w:r>
    </w:p>
    <w:p>
      <w:pPr>
        <w:pStyle w:val="ListBullet"/>
      </w:pPr>
      <w:r>
        <w:t>Use the planning templates to test how 100% bonus depreciation on short-life assets could affect your next 1–3 years of cash flow.</w:t>
      </w:r>
    </w:p>
    <w:p>
      <w:pPr>
        <w:pStyle w:val="ListBullet"/>
      </w:pPr>
      <w:r>
        <w:t>Make a list of properties or upcoming projects where a more detailed cost segregation study might be worth exploring after you complete the core modules.</w:t>
      </w:r>
    </w:p>
    <w:p>
      <w:r>
        <w:rPr>
          <w:b/>
          <w:sz w:val="26"/>
        </w:rPr>
        <w:t>Key Action Steps for Tax Pros &amp; Advisors</w:t>
      </w:r>
    </w:p>
    <w:p>
      <w:pPr>
        <w:pStyle w:val="ListBullet"/>
      </w:pPr>
      <w:r>
        <w:t>Work through Modules 1–3 to lock in a shared language you can use with clients about cost segregation and 100% bonus.</w:t>
      </w:r>
    </w:p>
    <w:p>
      <w:pPr>
        <w:pStyle w:val="ListBullet"/>
      </w:pPr>
      <w:r>
        <w:t>Complete Modules A and B to understand what the IRS looks for in quality studies and how real client fact patterns play out.</w:t>
      </w:r>
    </w:p>
    <w:p>
      <w:pPr>
        <w:pStyle w:val="ListBullet"/>
      </w:pPr>
      <w:r>
        <w:t>Use Module C to outline how cost segregation will fit into your annual planning process, entity selection conversations, and multi-year projections.</w:t>
      </w:r>
    </w:p>
    <w:p>
      <w:pPr>
        <w:pStyle w:val="ListBullet"/>
      </w:pPr>
      <w:r>
        <w:t>Decide which client segments are the best fit for proactive cost seg planning under the post-BBTB rules, and flag them for outreach.</w:t>
      </w:r>
    </w:p>
    <w:p>
      <w:pPr>
        <w:pStyle w:val="ListBullet"/>
      </w:pPr>
      <w:r>
        <w:t>Document your assumptions and planning frameworks so they can be updated easily if future legislation adjusts bonus percentages again.</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