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M1 L1 Handout</w:t>
      </w:r>
    </w:p>
    <w:p>
      <w:r>
        <w:rPr>
          <w:b/>
          <w:sz w:val="28"/>
        </w:rPr>
        <w:t>Cost Seg in Plain English</w:t>
      </w:r>
    </w:p>
    <w:p/>
    <w:p>
      <w:r>
        <w:rPr>
          <w:b/>
          <w:sz w:val="26"/>
        </w:rPr>
        <w:t>Big Idea</w:t>
      </w:r>
    </w:p>
    <w:p>
      <w:r>
        <w:t>Cost segregation is not a mysterious engineer-only tactic—it’s simply the process of separating a property into slow and fast depreciation buckets so you control when you get your deductions. By understanding how land, building shell, personal property, and land improvements are treated for tax purposes, you can shift more of your cost into shorter class lives and bring deductions into the years when they matter most.</w:t>
      </w:r>
    </w:p>
    <w:p>
      <w:r>
        <w:rPr>
          <w:b/>
          <w:sz w:val="26"/>
        </w:rPr>
        <w:t>Key Concepts / Quick Snapshot</w:t>
      </w:r>
    </w:p>
    <w:p>
      <w:pPr>
        <w:pStyle w:val="ListBullet"/>
      </w:pPr>
      <w:r>
        <w:t>Every property can be mentally split into four pieces: land (no depreciation), building shell (27.5 or 39-year property), personal property (often 5 or 7-year), and land improvements (usually 15-year).</w:t>
      </w:r>
    </w:p>
    <w:p>
      <w:pPr>
        <w:pStyle w:val="ListBullet"/>
      </w:pPr>
      <w:r>
        <w:t>Depreciation is just the IRS telling you to spread the cost of a long-lived asset over a “class life” instead of deducting it all at once.</w:t>
      </w:r>
    </w:p>
    <w:p>
      <w:pPr>
        <w:pStyle w:val="ListBullet"/>
      </w:pPr>
      <w:r>
        <w:t>Shorter class life means faster deductions; longer class life means slower, smaller annual deductions.</w:t>
      </w:r>
    </w:p>
    <w:p>
      <w:pPr>
        <w:pStyle w:val="ListBullet"/>
      </w:pPr>
      <w:r>
        <w:t>Cost segregation does not increase your total depreciation over time—it changes the timing of when you claim it.</w:t>
      </w:r>
    </w:p>
    <w:p>
      <w:pPr>
        <w:pStyle w:val="ListBullet"/>
      </w:pPr>
      <w:r>
        <w:t>Earlier, larger deductions can dramatically reduce taxable income in high-income or post-purchase years, improving cash flow.</w:t>
      </w:r>
    </w:p>
    <w:p>
      <w:pPr>
        <w:pStyle w:val="ListBullet"/>
      </w:pPr>
      <w:r>
        <w:t>The IRS formally recognizes cost segregation and trains examiners using its Cost Segregation Audit Techniques Guide, so quality and documentation matter.</w:t>
      </w:r>
    </w:p>
    <w:p>
      <w:r>
        <w:rPr>
          <w:b/>
          <w:sz w:val="26"/>
        </w:rPr>
        <w:t>Where Cost Seg Fits for Investors and Tax Pros</w:t>
      </w:r>
    </w:p>
    <w:p>
      <w:r>
        <w:t>Cost segregation sits at the intersection of real estate, tax timing, and cash-flow planning. It takes the “one big building” mindset and breaks it into distinct depreciation buckets you can intentionally manage. For investors, this can mean freeing up cash in the early years of ownership. For tax pros, it’s a tool to align deductions with a client’s income spikes, status (such as real estate professional), and long-term planning goals.</w:t>
      </w:r>
    </w:p>
    <w:p>
      <w:pPr>
        <w:pStyle w:val="ListBullet"/>
      </w:pPr>
      <w:r>
        <w:t>Connects property purchases and renovations directly to tax timing strategies, not just generic depreciation.</w:t>
      </w:r>
    </w:p>
    <w:p>
      <w:pPr>
        <w:pStyle w:val="ListBullet"/>
      </w:pPr>
      <w:r>
        <w:t>Helps match big deductions to high-income years, refinances, or major expansion plans.</w:t>
      </w:r>
    </w:p>
    <w:p>
      <w:pPr>
        <w:pStyle w:val="ListBullet"/>
      </w:pPr>
      <w:r>
        <w:t>Supports real estate professional and active participation strategies by amplifying losses when they can be used.</w:t>
      </w:r>
    </w:p>
    <w:p>
      <w:pPr>
        <w:pStyle w:val="ListBullet"/>
      </w:pPr>
      <w:r>
        <w:t>Creates a structured way for advisors to move from “compliance only” to proactive tax planning around each property.</w:t>
      </w:r>
    </w:p>
    <w:p>
      <w:r>
        <w:rPr>
          <w:b/>
          <w:sz w:val="26"/>
        </w:rPr>
        <w:t>Illustrative Example – One Rental, Two Different Depreciation Patterns</w:t>
      </w:r>
    </w:p>
    <w:p>
      <w:r>
        <w:t>Assume you buy a rental property for $500,000. After allocating $100,000 to land (no depreciation), you have $400,000 of depreciable cost. If you treat the entire $400,000 as 27.5-year residential building, your annual straight-line depreciation is about $14,545. But if a cost segregation study identifies $80,000 as 5-year personal property, $40,000 as 15-year land improvements, and $280,000 as 27.5-year building shell, your early-year deductions can jump significantly.</w:t>
      </w:r>
    </w:p>
    <w:tbl>
      <w:tblPr>
        <w:tblW w:type="auto" w:w="0"/>
        <w:tblLook w:firstColumn="1" w:firstRow="1" w:lastColumn="0" w:lastRow="0" w:noHBand="0" w:noVBand="1" w:val="04A0"/>
      </w:tblPr>
      <w:tblGrid>
        <w:gridCol w:w="2880"/>
        <w:gridCol w:w="2880"/>
        <w:gridCol w:w="2880"/>
      </w:tblGrid>
      <w:tr>
        <w:tc>
          <w:tcPr>
            <w:tcW w:type="dxa" w:w="2880"/>
          </w:tcPr>
          <w:p>
            <w:r>
              <w:t>Scenario</w:t>
            </w:r>
          </w:p>
        </w:tc>
        <w:tc>
          <w:tcPr>
            <w:tcW w:type="dxa" w:w="2880"/>
          </w:tcPr>
          <w:p>
            <w:r>
              <w:t>Year 1 Depreciation</w:t>
            </w:r>
          </w:p>
        </w:tc>
        <w:tc>
          <w:tcPr>
            <w:tcW w:type="dxa" w:w="2880"/>
          </w:tcPr>
          <w:p>
            <w:r>
              <w:t>What It Means</w:t>
            </w:r>
          </w:p>
        </w:tc>
      </w:tr>
      <w:tr>
        <w:tc>
          <w:tcPr>
            <w:tcW w:type="dxa" w:w="2880"/>
          </w:tcPr>
          <w:p>
            <w:r>
              <w:t>Without Cost Seg (All 27.5-year)</w:t>
            </w:r>
          </w:p>
        </w:tc>
        <w:tc>
          <w:tcPr>
            <w:tcW w:type="dxa" w:w="2880"/>
          </w:tcPr>
          <w:p>
            <w:r>
              <w:t>≈ $14,545</w:t>
            </w:r>
          </w:p>
        </w:tc>
        <w:tc>
          <w:tcPr>
            <w:tcW w:type="dxa" w:w="2880"/>
          </w:tcPr>
          <w:p>
            <w:r>
              <w:t>Slow, steady deductions. Some benefit each year, but limited early cash-flow impact.</w:t>
            </w:r>
          </w:p>
        </w:tc>
      </w:tr>
      <w:tr>
        <w:tc>
          <w:tcPr>
            <w:tcW w:type="dxa" w:w="2880"/>
          </w:tcPr>
          <w:p>
            <w:r>
              <w:t>With Cost Seg (5, 15, 27.5-year mix)</w:t>
            </w:r>
          </w:p>
        </w:tc>
        <w:tc>
          <w:tcPr>
            <w:tcW w:type="dxa" w:w="2880"/>
          </w:tcPr>
          <w:p>
            <w:r>
              <w:t>Much higher in Year 1 (often 2–4x+) depending on bonus rules</w:t>
            </w:r>
          </w:p>
        </w:tc>
        <w:tc>
          <w:tcPr>
            <w:tcW w:type="dxa" w:w="2880"/>
          </w:tcPr>
          <w:p>
            <w:r>
              <w:t>Larger deductions up front, less in later years. Same total over time, but more tax savings when you might need it most.</w:t>
            </w:r>
          </w:p>
        </w:tc>
      </w:tr>
    </w:tbl>
    <w:p>
      <w:r>
        <w:rPr>
          <w:b/>
          <w:sz w:val="26"/>
        </w:rPr>
        <w:t>Key Action Steps for Investors &amp; Landlords</w:t>
      </w:r>
    </w:p>
    <w:p>
      <w:pPr>
        <w:pStyle w:val="ListBullet"/>
      </w:pPr>
      <w:r>
        <w:t>Look at each property you own and mentally break it into land, building shell, personal property, and land improvements.</w:t>
      </w:r>
    </w:p>
    <w:p>
      <w:pPr>
        <w:pStyle w:val="ListBullet"/>
      </w:pPr>
      <w:r>
        <w:t>Ask your advisor or team how your current returns treat these components—is everything lumped into one slow bucket?</w:t>
      </w:r>
    </w:p>
    <w:p>
      <w:pPr>
        <w:pStyle w:val="ListBullet"/>
      </w:pPr>
      <w:r>
        <w:t>Identify properties with large recent purchases or renovations where early deductions would be most valuable.</w:t>
      </w:r>
    </w:p>
    <w:p>
      <w:pPr>
        <w:pStyle w:val="ListBullet"/>
      </w:pPr>
      <w:r>
        <w:t>Consider whether your status (such as real estate professional) or income level makes accelerated deductions especially powerful right now.</w:t>
      </w:r>
    </w:p>
    <w:p>
      <w:pPr>
        <w:pStyle w:val="ListBullet"/>
      </w:pPr>
      <w:r>
        <w:t>Start a simple file for each property that lists major components and improvements, so future cost seg work is easier and better documented.</w:t>
      </w:r>
    </w:p>
    <w:p>
      <w:r>
        <w:rPr>
          <w:b/>
          <w:sz w:val="26"/>
        </w:rPr>
        <w:t>Key Action Steps for Tax Pros &amp; Advisors</w:t>
      </w:r>
    </w:p>
    <w:p>
      <w:pPr>
        <w:pStyle w:val="ListBullet"/>
      </w:pPr>
      <w:r>
        <w:t>Review client depreciation schedules to spot properties where everything is treated as 27.5 or 39-year property.</w:t>
      </w:r>
    </w:p>
    <w:p>
      <w:pPr>
        <w:pStyle w:val="ListBullet"/>
      </w:pPr>
      <w:r>
        <w:t>Flag clients with recent acquisitions, major rehabs, or high-income years where accelerated depreciation could move the needle.</w:t>
      </w:r>
    </w:p>
    <w:p>
      <w:pPr>
        <w:pStyle w:val="ListBullet"/>
      </w:pPr>
      <w:r>
        <w:t>Incorporate questions about property components and improvements into your intake and planning process.</w:t>
      </w:r>
    </w:p>
    <w:p>
      <w:pPr>
        <w:pStyle w:val="ListBullet"/>
      </w:pPr>
      <w:r>
        <w:t>Educate clients on the idea that cost segregation changes timing, not total deductions, to align expectations.</w:t>
      </w:r>
    </w:p>
    <w:p>
      <w:pPr>
        <w:pStyle w:val="ListBullet"/>
      </w:pPr>
      <w:r>
        <w:t>Familiarize yourself with the IRS Cost Segregation Audit Techniques Guide so you understand how examiners think about classifications and support.</w:t>
      </w:r>
    </w:p>
    <w:p>
      <w:pPr>
        <w:pStyle w:val="ListBullet"/>
      </w:pPr>
      <w:r>
        <w:t>Build a simple internal checklist for when to discuss cost segregation as part of an annual or multi-year tax plan.</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