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0"/>
        </w:rPr>
        <w:t>CS – M3 L1 Real Estate Professional Status — The Key to Using Losses Handout</w:t>
      </w:r>
    </w:p>
    <w:p>
      <w:r>
        <w:rPr>
          <w:b/>
          <w:sz w:val="28"/>
        </w:rPr>
        <w:t>Real Estate Professional Status — The Key to Using Losses</w:t>
      </w:r>
    </w:p>
    <w:p>
      <w:r>
        <w:rPr>
          <w:b/>
          <w:sz w:val="26"/>
        </w:rPr>
        <w:t>Big Idea</w:t>
      </w:r>
    </w:p>
    <w:p>
      <w:r>
        <w:t>Cost segregation can create large paper losses on rental properties, but you only get the real tax benefit if those losses can offset your other income. Real Estate Professional Status (REP), combined with material participation, is what allows certain investors to treat rental activities as non‑passive so that cost seg losses can directly reduce high W‑2 or business income instead of sitting on the return as suspended losses.</w:t>
      </w:r>
    </w:p>
    <w:p>
      <w:r>
        <w:rPr>
          <w:b/>
          <w:sz w:val="26"/>
        </w:rPr>
        <w:t>Key Concepts / Quick Snapshot</w:t>
      </w:r>
    </w:p>
    <w:p>
      <w:pPr>
        <w:pStyle w:val="ListBullet"/>
      </w:pPr>
      <w:r>
        <w:t>By default, rental activities are passive, and passive losses can generally only offset passive income.</w:t>
      </w:r>
    </w:p>
    <w:p>
      <w:pPr>
        <w:pStyle w:val="ListBullet"/>
      </w:pPr>
      <w:r>
        <w:t>Real Estate Professional Status requires (1) at least 750 hours in real property trades or businesses and (2) more time in those real estate activities than in any other work during the year.</w:t>
      </w:r>
    </w:p>
    <w:p>
      <w:pPr>
        <w:pStyle w:val="ListBullet"/>
      </w:pPr>
      <w:r>
        <w:t>Qualifying as a real estate professional does not automatically make rental losses non‑passive — you must also materially participate in the rentals where you want to use the losses.</w:t>
      </w:r>
    </w:p>
    <w:p>
      <w:pPr>
        <w:pStyle w:val="ListBullet"/>
      </w:pPr>
      <w:r>
        <w:t>Material participation means you are involved in the rental activity on a regular, continuous, and substantial basis (for many landlords this looks like making management decisions, approving tenants, overseeing repairs, etc.).</w:t>
      </w:r>
    </w:p>
    <w:p>
      <w:pPr>
        <w:pStyle w:val="ListBullet"/>
      </w:pPr>
      <w:r>
        <w:t>You can often elect to group long‑term rentals together so material participation is tested across the full portfolio instead of property by property.</w:t>
      </w:r>
    </w:p>
    <w:p>
      <w:pPr>
        <w:pStyle w:val="ListBullet"/>
      </w:pPr>
      <w:r>
        <w:t>When REP and material participation are both met, rental activities can be treated as non‑passive and cost seg losses can potentially offset high W‑2 or business income in the same year.</w:t>
      </w:r>
    </w:p>
    <w:p>
      <w:pPr>
        <w:pStyle w:val="ListBullet"/>
      </w:pPr>
      <w:r>
        <w:t>Because REP unlocks big current‑year deductions, it is a prime exam area — weak hour logs or unrealistic time claims can create audit risk.</w:t>
      </w:r>
    </w:p>
    <w:p>
      <w:r>
        <w:rPr>
          <w:b/>
          <w:sz w:val="26"/>
        </w:rPr>
        <w:t>Where Cost Seg Fits With Real Estate Professional Status</w:t>
      </w:r>
    </w:p>
    <w:p>
      <w:r>
        <w:t>Cost segregation is the engine that pulls a large amount of depreciation forward into year one. Real Estate Professional Status is the bridge that can connect those accelerated rental losses to your non‑passive income. Without REP, a big cost seg study may still be worthwhile, but much of the loss can end up suspended as passive. With REP and material participation in place, the same study can translate into immediate tax savings that free up cash for debt reduction, reserves, or the next purchase.</w:t>
      </w:r>
    </w:p>
    <w:p>
      <w:r>
        <w:t>In practice, ask two questions before ordering a large study:</w:t>
      </w:r>
    </w:p>
    <w:p>
      <w:pPr>
        <w:pStyle w:val="ListBullet"/>
      </w:pPr>
      <w:r>
        <w:t>Is there a realistic path for me or my spouse (or my client) to meet the REP tests this year or next year?</w:t>
      </w:r>
    </w:p>
    <w:p>
      <w:pPr>
        <w:pStyle w:val="ListBullet"/>
      </w:pPr>
      <w:r>
        <w:t>If yes, how much non‑passive income could these cost seg losses offset, and what is that worth in tax savings?</w:t>
      </w:r>
    </w:p>
    <w:p>
      <w:r>
        <w:rPr>
          <w:b/>
          <w:sz w:val="26"/>
        </w:rPr>
        <w:t>Illustrative Example – REP Spouse + High‑Income W‑2 Spouse</w:t>
      </w:r>
    </w:p>
    <w:p>
      <w:r>
        <w:t>Assume Spouse A earns $300,000 of W‑2 income. Spouse B manages three long‑term rentals and spends more than 750 hours a year in real property trades or businesses, with more time in real estate than in anything else. They document hours throughout the year and elect to group their long‑term rentals as a single activity for material participation.</w:t>
      </w:r>
    </w:p>
    <w:p>
      <w:r>
        <w:t>This year they acquire a new rental with an $800,000 depreciable basis (after land). A cost segregation study identifies $280,000 of 5‑year property and $70,000 of 15‑year land improvements. Under the current Big Beautiful Tax Bill environment, those components qualify for 100% bonus depreciation, creating roughly $350,000 of bonus depreciation in year one, plus regular depreciation on the remaining structure. After rental income and operating expenses, they end up with a net rental loss of about $320,000 on paper.</w:t>
      </w:r>
    </w:p>
    <w:p>
      <w:r>
        <w:t>How that $320,000 loss shows up on the return depends entirely on whether Spouse B truly qualifies as a real estate professional and materially participates in the rental group:</w:t>
      </w:r>
    </w:p>
    <w:tbl>
      <w:tblPr>
        <w:tblW w:type="auto" w:w="0"/>
        <w:tblLook w:firstColumn="1" w:firstRow="1" w:lastColumn="0" w:lastRow="0" w:noHBand="0" w:noVBand="1" w:val="04A0"/>
      </w:tblPr>
      <w:tblGrid>
        <w:gridCol w:w="4320"/>
        <w:gridCol w:w="4320"/>
      </w:tblGrid>
      <w:tr>
        <w:tc>
          <w:tcPr>
            <w:tcW w:type="dxa" w:w="4320"/>
          </w:tcPr>
          <w:p>
            <w:r>
              <w:t>Without REP (Passive Rentals)</w:t>
            </w:r>
          </w:p>
        </w:tc>
        <w:tc>
          <w:tcPr>
            <w:tcW w:type="dxa" w:w="4320"/>
          </w:tcPr>
          <w:p>
            <w:r>
              <w:t>With REP + Material Participation (Non‑Passive Rentals)</w:t>
            </w:r>
          </w:p>
        </w:tc>
      </w:tr>
      <w:tr>
        <w:tc>
          <w:tcPr>
            <w:tcW w:type="dxa" w:w="4320"/>
          </w:tcPr>
          <w:p>
            <w:r>
              <w:t>Rental activity stays passive.</w:t>
              <w:br/>
              <w:t>The $320,000 loss can only offset passive income.</w:t>
              <w:br/>
              <w:t>Most of the loss becomes a suspended passive loss carryforward.</w:t>
            </w:r>
          </w:p>
        </w:tc>
        <w:tc>
          <w:tcPr>
            <w:tcW w:type="dxa" w:w="4320"/>
          </w:tcPr>
          <w:p>
            <w:r>
              <w:t>Rental activity is non‑passive.</w:t>
              <w:br/>
              <w:t>The $320,000 loss can offset Spouse A’s $300,000 W‑2 income (subject to overall rules).</w:t>
              <w:br/>
              <w:t>This can generate significant current‑year tax savings for the household.</w:t>
            </w:r>
          </w:p>
        </w:tc>
      </w:tr>
      <w:tr>
        <w:tc>
          <w:tcPr>
            <w:tcW w:type="dxa" w:w="4320"/>
          </w:tcPr>
          <w:p>
            <w:r>
              <w:t>Same property, same cost seg study, same total depreciation over time — but limited near‑term benefit.</w:t>
            </w:r>
          </w:p>
        </w:tc>
        <w:tc>
          <w:tcPr>
            <w:tcW w:type="dxa" w:w="4320"/>
          </w:tcPr>
          <w:p>
            <w:r>
              <w:t>Same property and study — but losses now reduce non‑passive income in the year they care about.</w:t>
            </w:r>
          </w:p>
        </w:tc>
      </w:tr>
    </w:tbl>
    <w:p>
      <w:r>
        <w:rPr>
          <w:b/>
          <w:sz w:val="26"/>
        </w:rPr>
        <w:t>Key Action Steps for Investors &amp; Landlords</w:t>
      </w:r>
    </w:p>
    <w:p>
      <w:pPr>
        <w:pStyle w:val="ListBullet"/>
      </w:pPr>
      <w:r>
        <w:t>Map out your current and expected work hours for the year. Be honest about whether you or your spouse could genuinely meet both the 750‑hour test and the “more time in real estate than anything else” test.</w:t>
      </w:r>
    </w:p>
    <w:p>
      <w:pPr>
        <w:pStyle w:val="ListBullet"/>
      </w:pPr>
      <w:r>
        <w:t>If REP is realistic, start tracking qualifying real estate hours in real time using a simple spreadsheet or time‑tracking app.</w:t>
      </w:r>
    </w:p>
    <w:p>
      <w:pPr>
        <w:pStyle w:val="ListBullet"/>
      </w:pPr>
      <w:r>
        <w:t>Make sure you are involved in real decision‑making for the rentals where you want to use losses (tenant approvals, rent setting, repairs, and capital projects).</w:t>
      </w:r>
    </w:p>
    <w:p>
      <w:pPr>
        <w:pStyle w:val="ListBullet"/>
      </w:pPr>
      <w:r>
        <w:t>Talk with your tax advisor before you close on a property about whether to make a grouping election for your long‑term rentals.</w:t>
      </w:r>
    </w:p>
    <w:p>
      <w:pPr>
        <w:pStyle w:val="ListBullet"/>
      </w:pPr>
      <w:r>
        <w:t>Run a high‑level cost seg and REP projection before ordering an engineering study so you know the potential tax savings and whether they justify the cost.</w:t>
      </w:r>
    </w:p>
    <w:p>
      <w:pPr>
        <w:pStyle w:val="ListBullet"/>
      </w:pPr>
      <w:r>
        <w:t>Commit to keeping calendars, emails, work orders, and other documentation that back up your REP position in case of exam.</w:t>
      </w:r>
    </w:p>
    <w:p>
      <w:r>
        <w:rPr>
          <w:b/>
          <w:sz w:val="26"/>
        </w:rPr>
        <w:t>Key Action Steps for Tax Pros &amp; Advisors</w:t>
      </w:r>
    </w:p>
    <w:p>
      <w:pPr>
        <w:pStyle w:val="ListBullet"/>
      </w:pPr>
      <w:r>
        <w:t>Treat REP plus cost segregation as a formal planning engagement, not a last‑minute box on the organizer.</w:t>
      </w:r>
    </w:p>
    <w:p>
      <w:pPr>
        <w:pStyle w:val="ListBullet"/>
      </w:pPr>
      <w:r>
        <w:t>In your discovery process, identify which spouse (if any) is the best REP candidate and outline what a realistic year of qualifying hours looks like.</w:t>
      </w:r>
    </w:p>
    <w:p>
      <w:pPr>
        <w:pStyle w:val="ListBullet"/>
      </w:pPr>
      <w:r>
        <w:t>Help clients design a practical time‑tracking and documentation system that will still make sense to them in three years if there is an exam.</w:t>
      </w:r>
    </w:p>
    <w:p>
      <w:pPr>
        <w:pStyle w:val="ListBullet"/>
      </w:pPr>
      <w:r>
        <w:t>Model the impact of REP plus cost seg on the client’s 1–3 year tax picture, including changes in estimated tax payments and cash flow.</w:t>
      </w:r>
    </w:p>
    <w:p>
      <w:pPr>
        <w:pStyle w:val="ListBullet"/>
      </w:pPr>
      <w:r>
        <w:t>Document your analysis, the elections considered (such as grouping), and why you concluded REP was or was not appropriate for the year.</w:t>
      </w:r>
    </w:p>
    <w:p>
      <w:pPr>
        <w:pStyle w:val="ListBullet"/>
      </w:pPr>
      <w:r>
        <w:t>Educate clients about the audit risk of casual REP claims and set expectations that you will only take the position when the facts and records truly support it.</w:t>
      </w:r>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