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0"/>
        </w:rPr>
        <w:t>CS – M3 L2 Short-Term Rental “Loophole” Handout</w:t>
      </w:r>
    </w:p>
    <w:p>
      <w:r>
        <w:rPr>
          <w:b/>
          <w:sz w:val="28"/>
        </w:rPr>
        <w:t>Short-Term Rentals, Material Participation, and Cost Segregation</w:t>
      </w:r>
    </w:p>
    <w:p/>
    <w:p>
      <w:r>
        <w:rPr>
          <w:b/>
          <w:sz w:val="26"/>
        </w:rPr>
        <w:t>Big Idea</w:t>
      </w:r>
    </w:p>
    <w:p>
      <w:r>
        <w:t>Certain short-term rentals (STRs) are not treated as “rental activities” under the passive loss rules. If the owner truly runs the STR as an active business and meets material participation tests, STR losses — including large first‑year deductions from cost segregation — can be non‑passive and may offset high W‑2 or business income, even when the owner does not qualify as a Real Estate Professional.</w:t>
      </w:r>
    </w:p>
    <w:p>
      <w:r>
        <w:rPr>
          <w:b/>
          <w:sz w:val="26"/>
        </w:rPr>
        <w:t>Key Concepts / Quick Snapshot</w:t>
      </w:r>
    </w:p>
    <w:p>
      <w:pPr>
        <w:pStyle w:val="ListBullet"/>
      </w:pPr>
      <w:r>
        <w:t>Classic long‑term rentals are generally passive by default. Losses usually can’t offset W‑2 or active business income unless the taxpayer qualifies for Real Estate Professional Status (REP) and materially participates.</w:t>
      </w:r>
    </w:p>
    <w:p>
      <w:pPr>
        <w:pStyle w:val="ListBullet"/>
      </w:pPr>
      <w:r>
        <w:t>Some STRs are not classified as rental activities when the average stay is very short or when substantial services are provided, so they are treated more like an operating business for passive activity purposes.</w:t>
      </w:r>
    </w:p>
    <w:p>
      <w:pPr>
        <w:pStyle w:val="ListBullet"/>
      </w:pPr>
      <w:r>
        <w:t>When an STR is not a rental activity and the owner materially participates, the STR becomes a non‑passive trade or business, even if the owner is nowhere near REP hours.</w:t>
      </w:r>
    </w:p>
    <w:p>
      <w:pPr>
        <w:pStyle w:val="ListBullet"/>
      </w:pPr>
      <w:r>
        <w:t>Material participation means the owner is genuinely running the STR: making key decisions, handling guest communications, managing pricing and bookings, and coordinating cleaners and repairs — with time and tasks documented.</w:t>
      </w:r>
    </w:p>
    <w:p>
      <w:pPr>
        <w:pStyle w:val="ListBullet"/>
      </w:pPr>
      <w:r>
        <w:t>Cost segregation on an STR can shift a large portion of the purchase price into 5‑ and 15‑year property, which qualifies for very accelerated depreciation (including 100% bonus under the Big Beautiful Tax Bill rules).</w:t>
      </w:r>
    </w:p>
    <w:p>
      <w:pPr>
        <w:pStyle w:val="ListBullet"/>
      </w:pPr>
      <w:r>
        <w:t>If the STR is truly non‑passive, first‑year cost seg losses may offset high W‑2 income — but only when the classification, average stay, services, and participation story all support the position.</w:t>
      </w:r>
    </w:p>
    <w:p>
      <w:pPr>
        <w:pStyle w:val="ListBullet"/>
      </w:pPr>
      <w:r>
        <w:t>Risks include misclassifying the activity as an STR, weak time logs, over‑reliance on marketing “loophole” language, and ignoring future depreciation recapture when the property is sold.</w:t>
      </w:r>
    </w:p>
    <w:p>
      <w:r>
        <w:rPr>
          <w:b/>
          <w:sz w:val="26"/>
        </w:rPr>
        <w:t>Where Cost Seg Fits</w:t>
      </w:r>
    </w:p>
    <w:p>
      <w:r>
        <w:t>Cost segregation is what turns a profitable or cash‑flow‑neutral STR into a large paper loss in the early years. The engineering study reclassifies part of the building into shorter‑life assets eligible for bonus depreciation. When the STR is correctly treated as a non‑passive activity, those paper losses can move out of the passive bucket and into the same column as W‑2 or business income.</w:t>
      </w:r>
    </w:p>
    <w:p>
      <w:pPr>
        <w:pStyle w:val="ListBullet"/>
      </w:pPr>
      <w:r>
        <w:t>Without cost seg, STR owners may see only modest annual depreciation that barely dents their taxable income.</w:t>
      </w:r>
    </w:p>
    <w:p>
      <w:pPr>
        <w:pStyle w:val="ListBullet"/>
      </w:pPr>
      <w:r>
        <w:t>With cost seg, a meaningful slice of the building and site improvements (e.g., furniture, finishes, parking, hardscape) can be deducted in year one.</w:t>
      </w:r>
    </w:p>
    <w:p>
      <w:pPr>
        <w:pStyle w:val="ListBullet"/>
      </w:pPr>
      <w:r>
        <w:t>The combination of non‑passive STR status and front‑loaded depreciation is what creates the potential for a one‑year tax swing of six figures or more.</w:t>
      </w:r>
    </w:p>
    <w:p>
      <w:pPr>
        <w:pStyle w:val="ListBullet"/>
      </w:pPr>
      <w:r>
        <w:t>Because these deductions accelerate depreciation, owners must plan ahead for possible depreciation recapture and future taxable income when the STR is sold or its use changes.</w:t>
      </w:r>
    </w:p>
    <w:p>
      <w:r>
        <w:rPr>
          <w:b/>
          <w:sz w:val="26"/>
        </w:rPr>
        <w:t>Illustrative Example – High‑Income W‑2 Earner with One STR</w:t>
      </w:r>
    </w:p>
    <w:p>
      <w:r>
        <w:t>Assume a W‑2 earner makes $350,000 a year and cannot qualify as a Real Estate Professional. They buy a $900,000 vacation STR, with $750,000 allocated to depreciable building and improvements. Average stays are only a few nights, services are comparable to a small hotel, and the owner personally runs the operation and tracks their time.</w:t>
      </w:r>
    </w:p>
    <w:p>
      <w:r>
        <w:t>A cost segregation study identifies approximately $250,000 of 5‑year property (furniture, fixtures, finishes, equipment) and $80,000 of 15‑year land improvements (parking, walkways, site lighting), with the remaining $420,000 in 39‑year structural components. Under the Big Beautiful Tax Bill rules, the 5‑ and 15‑year property qualifies for 100% bonus depreciation.</w:t>
      </w:r>
    </w:p>
    <w:p>
      <w:r>
        <w:t>In year one, bonus depreciation on the short‑life property is roughly $330,000. After STR income and operating expenses, the property shows a net tax loss of about $300,000. Because the STR is not treated as a rental activity and the owner materially participates, that $300,000 is non‑passive and can potentially offset the W‑2 income, subject to other limitations.</w:t>
      </w:r>
    </w:p>
    <w:tbl>
      <w:tblPr>
        <w:tblW w:type="auto" w:w="0"/>
        <w:tblLook w:firstColumn="1" w:firstRow="1" w:lastColumn="0" w:lastRow="0" w:noHBand="0" w:noVBand="1" w:val="04A0"/>
      </w:tblPr>
      <w:tblGrid>
        <w:gridCol w:w="2880"/>
        <w:gridCol w:w="2880"/>
        <w:gridCol w:w="2880"/>
      </w:tblGrid>
      <w:tr>
        <w:tc>
          <w:tcPr>
            <w:tcW w:type="dxa" w:w="2880"/>
          </w:tcPr>
          <w:p>
            <w:r/>
          </w:p>
        </w:tc>
        <w:tc>
          <w:tcPr>
            <w:tcW w:type="dxa" w:w="2880"/>
          </w:tcPr>
          <w:p>
            <w:r>
              <w:t>Without STR / Cost Seg</w:t>
            </w:r>
          </w:p>
        </w:tc>
        <w:tc>
          <w:tcPr>
            <w:tcW w:type="dxa" w:w="2880"/>
          </w:tcPr>
          <w:p>
            <w:r>
              <w:t>With STR + Cost Seg (Non‑Passive)</w:t>
            </w:r>
          </w:p>
        </w:tc>
      </w:tr>
      <w:tr>
        <w:tc>
          <w:tcPr>
            <w:tcW w:type="dxa" w:w="2880"/>
          </w:tcPr>
          <w:p>
            <w:r>
              <w:t>W‑2 Income</w:t>
            </w:r>
          </w:p>
        </w:tc>
        <w:tc>
          <w:tcPr>
            <w:tcW w:type="dxa" w:w="2880"/>
          </w:tcPr>
          <w:p>
            <w:r>
              <w:t>$350,000 taxable</w:t>
            </w:r>
          </w:p>
        </w:tc>
        <w:tc>
          <w:tcPr>
            <w:tcW w:type="dxa" w:w="2880"/>
          </w:tcPr>
          <w:p>
            <w:r>
              <w:t>$350,000 taxable</w:t>
            </w:r>
          </w:p>
        </w:tc>
      </w:tr>
      <w:tr>
        <w:tc>
          <w:tcPr>
            <w:tcW w:type="dxa" w:w="2880"/>
          </w:tcPr>
          <w:p>
            <w:r>
              <w:t>STR &amp; Depreciation</w:t>
            </w:r>
          </w:p>
        </w:tc>
        <w:tc>
          <w:tcPr>
            <w:tcW w:type="dxa" w:w="2880"/>
          </w:tcPr>
          <w:p>
            <w:r>
              <w:t>No STR; only small rental or investment deductions elsewhere</w:t>
            </w:r>
          </w:p>
        </w:tc>
        <w:tc>
          <w:tcPr>
            <w:tcW w:type="dxa" w:w="2880"/>
          </w:tcPr>
          <w:p>
            <w:r>
              <w:t>≈ $300,000 non‑passive STR loss from bonus depreciation, potentially offsetting most of W‑2 income</w:t>
            </w:r>
          </w:p>
        </w:tc>
      </w:tr>
    </w:tbl>
    <w:p>
      <w:r>
        <w:t>Result: with correct STR classification and documented material participation, the owner may reduce current‑year taxable income dramatically. If the IRS later reclassifies the activity as a passive rental or disallows material participation, those same losses could be suspended or reversed, so documentation is critical.</w:t>
      </w:r>
    </w:p>
    <w:p>
      <w:r>
        <w:rPr>
          <w:b/>
          <w:sz w:val="26"/>
        </w:rPr>
        <w:t>Key Action Steps for Investors &amp; Landlords</w:t>
      </w:r>
    </w:p>
    <w:p>
      <w:pPr>
        <w:pStyle w:val="ListBullet"/>
      </w:pPr>
      <w:r>
        <w:t>Decide whether you genuinely want to operate a hands‑on STR business, not just own a passive vacation rental.</w:t>
      </w:r>
    </w:p>
    <w:p>
      <w:pPr>
        <w:pStyle w:val="ListBullet"/>
      </w:pPr>
      <w:r>
        <w:t>Design the property and guest experience so that average stays and services clearly support STR treatment rather than classic long‑term rental classification.</w:t>
      </w:r>
    </w:p>
    <w:p>
      <w:pPr>
        <w:pStyle w:val="ListBullet"/>
      </w:pPr>
      <w:r>
        <w:t>Track your time and tasks contemporaneously — guest messages, pricing adjustments, cleanings coordination, maintenance, and project management.</w:t>
      </w:r>
    </w:p>
    <w:p>
      <w:pPr>
        <w:pStyle w:val="ListBullet"/>
      </w:pPr>
      <w:r>
        <w:t>Work with your advisor to model the potential first‑year deductions from cost segregation and how they interact with your W‑2 and other income.</w:t>
      </w:r>
    </w:p>
    <w:p>
      <w:pPr>
        <w:pStyle w:val="ListBullet"/>
      </w:pPr>
      <w:r>
        <w:t>Think ahead about exit strategy, future income, and possible depreciation recapture so you are not surprised later by a higher tax bill when you sell.</w:t>
      </w:r>
    </w:p>
    <w:p>
      <w:pPr>
        <w:pStyle w:val="ListBullet"/>
      </w:pPr>
      <w:r>
        <w:t>Avoid aggressive “set it and forget it” strategies where a third‑party manager does nearly everything while you still claim material participation.</w:t>
      </w:r>
    </w:p>
    <w:p>
      <w:r>
        <w:rPr>
          <w:b/>
          <w:sz w:val="26"/>
        </w:rPr>
        <w:t>Key Action Steps for Tax Pros &amp; Advisors</w:t>
      </w:r>
    </w:p>
    <w:p>
      <w:pPr>
        <w:pStyle w:val="ListBullet"/>
      </w:pPr>
      <w:r>
        <w:t>Screen clients carefully to distinguish between true STR operators and clients with primarily passive rental goals.</w:t>
      </w:r>
    </w:p>
    <w:p>
      <w:pPr>
        <w:pStyle w:val="ListBullet"/>
      </w:pPr>
      <w:r>
        <w:t>Educate clients on the difference between classic rentals and STRs, and explain material participation in everyday language tied to their calendar and workload.</w:t>
      </w:r>
    </w:p>
    <w:p>
      <w:pPr>
        <w:pStyle w:val="ListBullet"/>
      </w:pPr>
      <w:r>
        <w:t>Treat STR plus cost seg as a structured planning engagement: clarify facts, capacity, timelines, and documentation expectations up front.</w:t>
      </w:r>
    </w:p>
    <w:p>
      <w:pPr>
        <w:pStyle w:val="ListBullet"/>
      </w:pPr>
      <w:r>
        <w:t>Use estimation tools to size potential cost seg benefits before recommending a full engineering study, and coordinate placed‑in‑service timing with client cash flow.</w:t>
      </w:r>
    </w:p>
    <w:p>
      <w:pPr>
        <w:pStyle w:val="ListBullet"/>
      </w:pPr>
      <w:r>
        <w:t>Document the STR classification, average stay calculations, level of services, and participation narrative in the workpapers, not just in the return.</w:t>
      </w:r>
    </w:p>
    <w:p>
      <w:pPr>
        <w:pStyle w:val="ListBullet"/>
      </w:pPr>
      <w:r>
        <w:t>Set expectations about audit risk and future recapture so clients understand both the upside and the long‑term trade‑offs of the strategy.</w:t>
      </w:r>
    </w:p>
    <w:p>
      <w:r>
        <w:rPr>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