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pPr>
      <w:r>
        <w:rPr>
          <w:rFonts w:ascii="Calibri" w:hAnsi="Calibri"/>
          <w:b/>
          <w:sz w:val="40"/>
        </w:rPr>
        <w:t>CS – M1 L2 Handout</w:t>
      </w:r>
    </w:p>
    <w:p>
      <w:pPr>
        <w:spacing w:before="0" w:after="200"/>
      </w:pPr>
      <w:r>
        <w:rPr>
          <w:rFonts w:ascii="Calibri" w:hAnsi="Calibri"/>
          <w:b/>
          <w:sz w:val="28"/>
        </w:rPr>
        <w:t>Property Lives – 5, 7, 15 vs 27.5 / 39 Years</w:t>
      </w:r>
    </w:p>
    <w:p>
      <w:pPr>
        <w:spacing w:before="120" w:after="40"/>
      </w:pPr>
      <w:r>
        <w:rPr>
          <w:rFonts w:ascii="Calibri" w:hAnsi="Calibri"/>
          <w:b/>
          <w:sz w:val="26"/>
        </w:rPr>
        <w:t>Big Idea</w:t>
      </w:r>
    </w:p>
    <w:p>
      <w:pPr>
        <w:spacing w:before="0" w:after="0"/>
      </w:pPr>
      <w:r>
        <w:rPr>
          <w:rFonts w:ascii="Calibri" w:hAnsi="Calibri"/>
          <w:b w:val="0"/>
          <w:sz w:val="22"/>
        </w:rPr>
        <w:t>Cost segregation works because a single property is really a stack of different depreciation lives. When you separate fast-lane property (5-, 7-, and 15-year) from the long-life building shell (27.5 or 39 years), you can shift a large portion of your total depreciation into earlier years without changing the overall amount of depreciation over the building’s life.</w:t>
      </w:r>
    </w:p>
    <w:p>
      <w:pPr>
        <w:spacing w:before="160" w:after="40"/>
      </w:pPr>
      <w:r>
        <w:rPr>
          <w:rFonts w:ascii="Calibri" w:hAnsi="Calibri"/>
          <w:b/>
          <w:sz w:val="26"/>
        </w:rPr>
        <w:t>Key Concepts / Quick Snapshot</w:t>
      </w:r>
    </w:p>
    <w:p>
      <w:pPr>
        <w:pStyle w:val="ListBullet"/>
      </w:pPr>
      <w:r>
        <w:rPr>
          <w:rFonts w:ascii="Calibri" w:hAnsi="Calibri"/>
          <w:sz w:val="22"/>
        </w:rPr>
        <w:t>The MACRS system uses multiple class lives (3, 5, 7, 10, 15, 20, 27.5, 39 years), but real-estate-focused cost seg mostly lives in 5, 7, 15 vs 27.5 / 39 years.</w:t>
      </w:r>
    </w:p>
    <w:p>
      <w:pPr>
        <w:pStyle w:val="ListBullet"/>
      </w:pPr>
      <w:r>
        <w:rPr>
          <w:rFonts w:ascii="Calibri" w:hAnsi="Calibri"/>
          <w:sz w:val="22"/>
        </w:rPr>
        <w:t>5-year property is the stuff that wears out or moves: appliances, carpet, furniture, blinds, decorative fixtures, and STR furnishings.</w:t>
      </w:r>
    </w:p>
    <w:p>
      <w:pPr>
        <w:pStyle w:val="ListBullet"/>
      </w:pPr>
      <w:r>
        <w:rPr>
          <w:rFonts w:ascii="Calibri" w:hAnsi="Calibri"/>
          <w:sz w:val="22"/>
        </w:rPr>
        <w:t>7-year property is mostly office furniture and certain business equipment in leasing offices and commercial spaces.</w:t>
      </w:r>
    </w:p>
    <w:p>
      <w:pPr>
        <w:pStyle w:val="ListBullet"/>
      </w:pPr>
      <w:r>
        <w:rPr>
          <w:rFonts w:ascii="Calibri" w:hAnsi="Calibri"/>
          <w:sz w:val="22"/>
        </w:rPr>
        <w:t>15-year property is land improvements: parking lots, driveways, sidewalks, curbs, retaining walls, fencing, exterior pole lights, and other hardscape built on top of the land.</w:t>
      </w:r>
    </w:p>
    <w:p>
      <w:pPr>
        <w:pStyle w:val="ListBullet"/>
      </w:pPr>
      <w:r>
        <w:rPr>
          <w:rFonts w:ascii="Calibri" w:hAnsi="Calibri"/>
          <w:sz w:val="22"/>
        </w:rPr>
        <w:t>27.5-year (residential) and 39-year (commercial) property is the building shell: foundation, structure, roof, main plumbing and electrical, central HVAC, stairwells, and basic corridors.</w:t>
      </w:r>
    </w:p>
    <w:p>
      <w:pPr>
        <w:pStyle w:val="ListBullet"/>
      </w:pPr>
      <w:r>
        <w:rPr>
          <w:rFonts w:ascii="Calibri" w:hAnsi="Calibri"/>
          <w:sz w:val="22"/>
        </w:rPr>
        <w:t>Property with a life of 20 years or less can fall into the group that may qualify for bonus depreciation when requirements are met; the shell does not.</w:t>
      </w:r>
    </w:p>
    <w:p>
      <w:pPr>
        <w:pStyle w:val="ListBullet"/>
      </w:pPr>
      <w:r>
        <w:rPr>
          <w:rFonts w:ascii="Calibri" w:hAnsi="Calibri"/>
          <w:sz w:val="22"/>
        </w:rPr>
        <w:t>Most missed opportunity comes from burying 5-, 7-, and 15-year property inside a single long-life “building” line on the depreciation schedule.</w:t>
      </w:r>
    </w:p>
    <w:p>
      <w:pPr>
        <w:spacing w:before="160" w:after="40"/>
      </w:pPr>
      <w:r>
        <w:rPr>
          <w:rFonts w:ascii="Calibri" w:hAnsi="Calibri"/>
          <w:b/>
          <w:sz w:val="26"/>
        </w:rPr>
        <w:t>Where Cost Seg Fits</w:t>
      </w:r>
    </w:p>
    <w:p>
      <w:pPr>
        <w:spacing w:before="0" w:after="0"/>
      </w:pPr>
      <w:r>
        <w:rPr>
          <w:rFonts w:ascii="Calibri" w:hAnsi="Calibri"/>
          <w:b w:val="0"/>
          <w:sz w:val="22"/>
        </w:rPr>
        <w:t>Cost segregation is the process of carving short-life property out of the long-life shell and assigning each component to the correct class life. For investors and tax pros, the goal is to identify which dollars are truly 5-, 7-, or 15-year property so they can be recovered much faster than the 27.5- or 39-year default.</w:t>
      </w:r>
    </w:p>
    <w:p>
      <w:pPr>
        <w:pStyle w:val="ListBullet"/>
      </w:pPr>
      <w:r>
        <w:rPr>
          <w:rFonts w:ascii="Calibri" w:hAnsi="Calibri"/>
          <w:sz w:val="22"/>
        </w:rPr>
        <w:t>Purchase price and construction costs are usually recorded as one “building” number unless someone breaks them out.</w:t>
      </w:r>
    </w:p>
    <w:p>
      <w:pPr>
        <w:pStyle w:val="ListBullet"/>
      </w:pPr>
      <w:r>
        <w:rPr>
          <w:rFonts w:ascii="Calibri" w:hAnsi="Calibri"/>
          <w:sz w:val="22"/>
        </w:rPr>
        <w:t>Cost seg studies reclassify portions of that building number into 5-, 7-, and 15-year buckets using engineering and tax standards.</w:t>
      </w:r>
    </w:p>
    <w:p>
      <w:pPr>
        <w:pStyle w:val="ListBullet"/>
      </w:pPr>
      <w:r>
        <w:rPr>
          <w:rFonts w:ascii="Calibri" w:hAnsi="Calibri"/>
          <w:sz w:val="22"/>
        </w:rPr>
        <w:t>Shorter lives can dramatically increase first-year deductions, especially when bonus depreciation is available.</w:t>
      </w:r>
    </w:p>
    <w:p>
      <w:pPr>
        <w:pStyle w:val="ListBullet"/>
      </w:pPr>
      <w:r>
        <w:rPr>
          <w:rFonts w:ascii="Calibri" w:hAnsi="Calibri"/>
          <w:sz w:val="22"/>
        </w:rPr>
        <w:t>The building shell stays on its long schedule; only non-structural components move into shorter lives.</w:t>
      </w:r>
    </w:p>
    <w:p>
      <w:pPr>
        <w:spacing w:before="160" w:after="40"/>
      </w:pPr>
      <w:r>
        <w:rPr>
          <w:rFonts w:ascii="Calibri" w:hAnsi="Calibri"/>
          <w:b/>
          <w:sz w:val="26"/>
        </w:rPr>
        <w:t>Illustrative Example</w:t>
      </w:r>
    </w:p>
    <w:p>
      <w:pPr>
        <w:spacing w:before="0" w:after="0"/>
      </w:pPr>
      <w:r>
        <w:rPr>
          <w:rFonts w:ascii="Calibri" w:hAnsi="Calibri"/>
          <w:b w:val="0"/>
          <w:sz w:val="22"/>
        </w:rPr>
        <w:t>Assume an investor spends $90,000 on improvements for a small rental property: $40,000 on appliances, carpet, and furnishings, and $50,000 on parking lot resurfacing and exterior lighting. Two different depreciation approaches create very different first-year results.</w:t>
      </w:r>
    </w:p>
    <w:tbl>
      <w:tblPr>
        <w:tblStyle w:val="TableGrid"/>
        <w:tblW w:type="auto" w:w="0"/>
        <w:tblLook w:firstColumn="1" w:firstRow="1" w:lastColumn="0" w:lastRow="0" w:noHBand="0" w:noVBand="1" w:val="04A0"/>
      </w:tblPr>
      <w:tblGrid>
        <w:gridCol w:w="2880"/>
        <w:gridCol w:w="2880"/>
        <w:gridCol w:w="2880"/>
      </w:tblGrid>
      <w:tr>
        <w:tc>
          <w:tcPr>
            <w:tcW w:type="dxa" w:w="2880"/>
          </w:tcPr>
          <w:p>
            <w:r>
              <w:rPr>
                <w:rFonts w:ascii="Calibri" w:hAnsi="Calibri"/>
                <w:sz w:val="20"/>
              </w:rPr>
            </w:r>
          </w:p>
        </w:tc>
        <w:tc>
          <w:tcPr>
            <w:tcW w:type="dxa" w:w="2880"/>
          </w:tcPr>
          <w:p>
            <w:r>
              <w:rPr>
                <w:rFonts w:ascii="Calibri" w:hAnsi="Calibri"/>
                <w:sz w:val="20"/>
              </w:rPr>
              <w:t>All Costs in 27.5/39-Year Building</w:t>
            </w:r>
          </w:p>
        </w:tc>
        <w:tc>
          <w:tcPr>
            <w:tcW w:type="dxa" w:w="2880"/>
          </w:tcPr>
          <w:p>
            <w:r>
              <w:rPr>
                <w:rFonts w:ascii="Calibri" w:hAnsi="Calibri"/>
                <w:sz w:val="20"/>
              </w:rPr>
              <w:t>Costs Split Into 5- and 15-Year Buckets</w:t>
            </w:r>
          </w:p>
        </w:tc>
      </w:tr>
      <w:tr>
        <w:tc>
          <w:tcPr>
            <w:tcW w:type="dxa" w:w="2880"/>
          </w:tcPr>
          <w:p>
            <w:r>
              <w:rPr>
                <w:rFonts w:ascii="Calibri" w:hAnsi="Calibri"/>
                <w:sz w:val="20"/>
              </w:rPr>
              <w:t>Property classified</w:t>
            </w:r>
          </w:p>
        </w:tc>
        <w:tc>
          <w:tcPr>
            <w:tcW w:type="dxa" w:w="2880"/>
          </w:tcPr>
          <w:p>
            <w:r>
              <w:rPr>
                <w:rFonts w:ascii="Calibri" w:hAnsi="Calibri"/>
                <w:sz w:val="20"/>
              </w:rPr>
              <w:t>Single long-life building asset</w:t>
            </w:r>
          </w:p>
        </w:tc>
        <w:tc>
          <w:tcPr>
            <w:tcW w:type="dxa" w:w="2880"/>
          </w:tcPr>
          <w:p>
            <w:r>
              <w:rPr>
                <w:rFonts w:ascii="Calibri" w:hAnsi="Calibri"/>
                <w:sz w:val="20"/>
              </w:rPr>
              <w:t>5-year personal property + 15-year land improvements</w:t>
            </w:r>
          </w:p>
        </w:tc>
      </w:tr>
      <w:tr>
        <w:tc>
          <w:tcPr>
            <w:tcW w:type="dxa" w:w="2880"/>
          </w:tcPr>
          <w:p>
            <w:r>
              <w:rPr>
                <w:rFonts w:ascii="Calibri" w:hAnsi="Calibri"/>
                <w:sz w:val="20"/>
              </w:rPr>
              <w:t>Approximate first-year depreciation on $90,000</w:t>
            </w:r>
          </w:p>
        </w:tc>
        <w:tc>
          <w:tcPr>
            <w:tcW w:type="dxa" w:w="2880"/>
          </w:tcPr>
          <w:p>
            <w:r>
              <w:rPr>
                <w:rFonts w:ascii="Calibri" w:hAnsi="Calibri"/>
                <w:sz w:val="20"/>
              </w:rPr>
              <w:t>About 3–4% of $90,000 (roughly $3,000–$3,500, depending on conventions)</w:t>
            </w:r>
          </w:p>
        </w:tc>
        <w:tc>
          <w:tcPr>
            <w:tcW w:type="dxa" w:w="2880"/>
          </w:tcPr>
          <w:p>
            <w:r>
              <w:rPr>
                <w:rFonts w:ascii="Calibri" w:hAnsi="Calibri"/>
                <w:sz w:val="20"/>
              </w:rPr>
              <w:t>Up to the full $90,000 if eligible for bonus depreciation; otherwise much higher annual deduction on shorter lives</w:t>
            </w:r>
          </w:p>
        </w:tc>
      </w:tr>
    </w:tbl>
    <w:p>
      <w:pPr>
        <w:spacing w:before="120" w:after="0"/>
      </w:pPr>
      <w:r>
        <w:rPr>
          <w:rFonts w:ascii="Calibri" w:hAnsi="Calibri"/>
          <w:b w:val="0"/>
          <w:sz w:val="22"/>
        </w:rPr>
        <w:t>The total depreciation over the life of the property is similar, but the timing is very different. With everything treated as long-life building, the deduction is spread slowly over decades. With costs properly separated into 5- and 15-year lives, a large portion of the $90,000 can be recovered much sooner, especially if bonus rules apply.</w:t>
      </w:r>
    </w:p>
    <w:p>
      <w:pPr>
        <w:spacing w:before="160" w:after="40"/>
      </w:pPr>
      <w:r>
        <w:rPr>
          <w:rFonts w:ascii="Calibri" w:hAnsi="Calibri"/>
          <w:b/>
          <w:sz w:val="26"/>
        </w:rPr>
        <w:t>Key Action Steps for Investors &amp; Landlords</w:t>
      </w:r>
    </w:p>
    <w:p>
      <w:pPr>
        <w:pStyle w:val="ListBullet"/>
      </w:pPr>
      <w:r>
        <w:rPr>
          <w:rFonts w:ascii="Calibri" w:hAnsi="Calibri"/>
          <w:sz w:val="22"/>
        </w:rPr>
        <w:t>When reviewing a purchase or renovation budget, highlight items that clearly wear out or move (appliances, carpet, furnishings, blinds, decorative fixtures).</w:t>
      </w:r>
    </w:p>
    <w:p>
      <w:pPr>
        <w:pStyle w:val="ListBullet"/>
      </w:pPr>
      <w:r>
        <w:rPr>
          <w:rFonts w:ascii="Calibri" w:hAnsi="Calibri"/>
          <w:sz w:val="22"/>
        </w:rPr>
        <w:t>Ask contractors to break out site work separately—parking, sidewalks, fencing, exterior lighting, and hardscape—rather than rolling everything into “building improvements.”</w:t>
      </w:r>
    </w:p>
    <w:p>
      <w:pPr>
        <w:pStyle w:val="ListBullet"/>
      </w:pPr>
      <w:r>
        <w:rPr>
          <w:rFonts w:ascii="Calibri" w:hAnsi="Calibri"/>
          <w:sz w:val="22"/>
        </w:rPr>
        <w:t>Keep invoices and receipts that show detail by component so your tax preparer or cost seg provider can assign correct class lives.</w:t>
      </w:r>
    </w:p>
    <w:p>
      <w:pPr>
        <w:pStyle w:val="ListBullet"/>
      </w:pPr>
      <w:r>
        <w:rPr>
          <w:rFonts w:ascii="Calibri" w:hAnsi="Calibri"/>
          <w:sz w:val="22"/>
        </w:rPr>
        <w:t>Before a large improvement project, estimate how much spend is likely in 5-, 7-, and 15-year buckets to understand potential early-year deductions.</w:t>
      </w:r>
    </w:p>
    <w:p>
      <w:pPr>
        <w:pStyle w:val="ListBullet"/>
      </w:pPr>
      <w:r>
        <w:rPr>
          <w:rFonts w:ascii="Calibri" w:hAnsi="Calibri"/>
          <w:sz w:val="22"/>
        </w:rPr>
        <w:t>If you already own property, review existing depreciation schedules to see if short-life assets are buried inside a single building line.</w:t>
      </w:r>
    </w:p>
    <w:p>
      <w:pPr>
        <w:pStyle w:val="ListBullet"/>
      </w:pPr>
      <w:r>
        <w:rPr>
          <w:rFonts w:ascii="Calibri" w:hAnsi="Calibri"/>
          <w:sz w:val="22"/>
        </w:rPr>
        <w:t>Discuss with your advisor whether a cost segregation study or a more detailed fixed-asset review makes sense for your portfolio.</w:t>
      </w:r>
    </w:p>
    <w:p>
      <w:pPr>
        <w:spacing w:before="160" w:after="40"/>
      </w:pPr>
      <w:r>
        <w:rPr>
          <w:rFonts w:ascii="Calibri" w:hAnsi="Calibri"/>
          <w:b/>
          <w:sz w:val="26"/>
        </w:rPr>
        <w:t>Key Action Steps for Tax Pros &amp; Advisors</w:t>
      </w:r>
    </w:p>
    <w:p>
      <w:pPr>
        <w:pStyle w:val="ListBullet"/>
      </w:pPr>
      <w:r>
        <w:rPr>
          <w:rFonts w:ascii="Calibri" w:hAnsi="Calibri"/>
          <w:sz w:val="22"/>
        </w:rPr>
        <w:t>Train yourself to scan closing statements, construction budgets, and contractor invoices for 5-, 7-, and 15-year candidates instead of defaulting everything to building.</w:t>
      </w:r>
    </w:p>
    <w:p>
      <w:pPr>
        <w:pStyle w:val="ListBullet"/>
      </w:pPr>
      <w:r>
        <w:rPr>
          <w:rFonts w:ascii="Calibri" w:hAnsi="Calibri"/>
          <w:sz w:val="22"/>
        </w:rPr>
        <w:t>Flag clients planning large renovations or acquisitions and encourage them to keep detailed cost breakdowns by component and by trade.</w:t>
      </w:r>
    </w:p>
    <w:p>
      <w:pPr>
        <w:pStyle w:val="ListBullet"/>
      </w:pPr>
      <w:r>
        <w:rPr>
          <w:rFonts w:ascii="Calibri" w:hAnsi="Calibri"/>
          <w:sz w:val="22"/>
        </w:rPr>
        <w:t>Review existing depreciation schedules for major real estate clients and identify properties where short-life assets appear to be embedded in a single building asset.</w:t>
      </w:r>
    </w:p>
    <w:p>
      <w:pPr>
        <w:pStyle w:val="ListBullet"/>
      </w:pPr>
      <w:r>
        <w:rPr>
          <w:rFonts w:ascii="Calibri" w:hAnsi="Calibri"/>
          <w:sz w:val="22"/>
        </w:rPr>
        <w:t>Decide when a full engineering-based cost segregation study is warranted versus when a more modest reclassification exercise is appropriate.</w:t>
      </w:r>
    </w:p>
    <w:p>
      <w:pPr>
        <w:pStyle w:val="ListBullet"/>
      </w:pPr>
      <w:r>
        <w:rPr>
          <w:rFonts w:ascii="Calibri" w:hAnsi="Calibri"/>
          <w:sz w:val="22"/>
        </w:rPr>
        <w:t>Stay current on bonus depreciation rules and recovery periods so you can accurately model first-year and long-term outcomes for different asset classifications.</w:t>
      </w:r>
    </w:p>
    <w:p>
      <w:pPr>
        <w:pStyle w:val="ListBullet"/>
      </w:pPr>
      <w:r>
        <w:rPr>
          <w:rFonts w:ascii="Calibri" w:hAnsi="Calibri"/>
          <w:sz w:val="22"/>
        </w:rPr>
        <w:t>Document your reasoning and supporting records whenever you reclassify costs into shorter lives to support positions under examination.</w:t>
      </w:r>
    </w:p>
    <w:p>
      <w:r>
        <w:rPr>
          <w:rFonts w:ascii="Calibri" w:hAnsi="Calibri"/>
          <w:sz w:val="18"/>
        </w:rPr>
        <w:t>Disclaimer: 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