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sz w:val="40"/>
        </w:rPr>
        <w:t>CS – M1 L3 Handout</w:t>
      </w:r>
    </w:p>
    <w:p>
      <w:r>
        <w:rPr>
          <w:b/>
          <w:sz w:val="28"/>
        </w:rPr>
        <w:t>Bonus Depreciation in the Big Beautiful Tax Bill Era</w:t>
      </w:r>
    </w:p>
    <w:p/>
    <w:p>
      <w:r>
        <w:rPr>
          <w:b/>
          <w:sz w:val="26"/>
        </w:rPr>
        <w:t>Big Idea</w:t>
      </w:r>
    </w:p>
    <w:p>
      <w:r>
        <w:t>In the Big Beautiful Tax Bill era, correctly identifying short-life assets (5-, 7-, and 15-year property) and pairing them with 100% bonus depreciation can turn a slow 27.5-/39-year deduction into a massive year-one write-off. Cost segregation puts each component of a property in the right “bucket,” and bonus depreciation controls how fast those buckets pay out, dramatically improving early cash flow for real estate investors.</w:t>
      </w:r>
    </w:p>
    <w:p>
      <w:r>
        <w:rPr>
          <w:b/>
          <w:sz w:val="26"/>
        </w:rPr>
        <w:t>Quick Law Snapshot – What Actually Changed</w:t>
      </w:r>
    </w:p>
    <w:p>
      <w:pPr>
        <w:pStyle w:val="ListBullet"/>
      </w:pPr>
      <w:r>
        <w:t>Bonus depreciation lets you deduct a large portion—often 100%—of qualifying property in the year it is placed in service.</w:t>
      </w:r>
    </w:p>
    <w:p>
      <w:pPr>
        <w:pStyle w:val="ListBullet"/>
      </w:pPr>
      <w:r>
        <w:t>Under the Big Beautiful Tax Bill, 100% bonus depreciation is assumed permanent for qualifying property with a recovery period of 20 years or less (e.g., 5-, 7-, 15-year assets).</w:t>
      </w:r>
    </w:p>
    <w:p>
      <w:pPr>
        <w:pStyle w:val="ListBullet"/>
      </w:pPr>
      <w:r>
        <w:t>Qualifying assets must generally be new to the taxpayer, placed in service after the law’s effective date, and otherwise eligible under §168 bonus rules.</w:t>
      </w:r>
    </w:p>
    <w:p>
      <w:pPr>
        <w:pStyle w:val="ListBullet"/>
      </w:pPr>
      <w:r>
        <w:t>Land is never depreciable, and the 27.5-/39-year building shell does not receive bonus depreciation.</w:t>
      </w:r>
    </w:p>
    <w:p>
      <w:pPr>
        <w:pStyle w:val="ListBullet"/>
      </w:pPr>
      <w:r>
        <w:t>Cost segregation reclassifies parts of a building into shorter lives (5-, 7-, 15-year), which then become eligible for 100% bonus under the new rules.</w:t>
      </w:r>
    </w:p>
    <w:p>
      <w:pPr>
        <w:pStyle w:val="ListBullet"/>
      </w:pPr>
      <w:r>
        <w:t>Even if Congress later changes bonus percentages, the underlying asset classification and shorter recovery periods still remain valuable.</w:t>
      </w:r>
    </w:p>
    <w:p>
      <w:r>
        <w:rPr>
          <w:b/>
          <w:sz w:val="26"/>
        </w:rPr>
        <w:t>Where Cost Seg Fits</w:t>
      </w:r>
    </w:p>
    <w:p>
      <w:r>
        <w:t>Cost segregation is the front-end engine that finds and documents the short-life components inside a property. Bonus depreciation is the back-end rule that determines how quickly those components can be deducted. Together, they turn traditional long-life real estate into a more flexible, front-loaded tax asset.</w:t>
      </w:r>
    </w:p>
    <w:p>
      <w:pPr>
        <w:pStyle w:val="ListBullet"/>
      </w:pPr>
      <w:r>
        <w:t>Cost segregation identifies and documents 5-, 7-, and 15-year property within a larger 27.5-/39-year building.</w:t>
      </w:r>
    </w:p>
    <w:p>
      <w:pPr>
        <w:pStyle w:val="ListBullet"/>
      </w:pPr>
      <w:r>
        <w:t>Those reclassified components are generally eligible for 100% bonus depreciation under the Big Beautiful Tax Bill.</w:t>
      </w:r>
    </w:p>
    <w:p>
      <w:pPr>
        <w:pStyle w:val="ListBullet"/>
      </w:pPr>
      <w:r>
        <w:t>The result is significantly higher first-year depreciation compared to treating everything as a single long-life building asset.</w:t>
      </w:r>
    </w:p>
    <w:p>
      <w:pPr>
        <w:pStyle w:val="ListBullet"/>
      </w:pPr>
      <w:r>
        <w:t>This combination is especially powerful for new acquisitions, large renovations, and value-add projects starting in 2026 and beyond.</w:t>
      </w:r>
    </w:p>
    <w:p>
      <w:r>
        <w:rPr>
          <w:b/>
          <w:sz w:val="26"/>
        </w:rPr>
        <w:t>Illustrative Example – $700,000 Residential Rental</w:t>
      </w:r>
    </w:p>
    <w:p>
      <w:r>
        <w:t>Assume an investor buys a residential rental in 2026 for $700,000. Land is valued at $150,000, leaving $550,000 of depreciable building and improvements.</w:t>
      </w:r>
    </w:p>
    <w:p>
      <w:r>
        <w:t>Scenario A – No Cost Segregation, No Bonus Depreciation:</w:t>
      </w:r>
    </w:p>
    <w:p>
      <w:r>
        <w:t>• Entire $550,000 is treated as 27.5-year residential property.</w:t>
        <w:br/>
        <w:t>• Annual depreciation ≈ $20,000 per year.</w:t>
        <w:br/>
        <w:t>• Year-one tax savings at a 35% rate ≈ $7,000.</w:t>
      </w:r>
    </w:p>
    <w:p>
      <w:r>
        <w:t>Scenario B – Cost Segregation + 100% Bonus in BBTB Era:</w:t>
      </w:r>
    </w:p>
    <w:p>
      <w:r>
        <w:t>• $360,000 – 27.5-year building shell.</w:t>
        <w:br/>
        <w:t>• $110,000 – 5-year personal property (appliances, carpet, specialty fixtures, etc.).</w:t>
        <w:br/>
        <w:t>• $80,000 – 15-year land improvements (parking, sidewalks, fencing, exterior lighting, certain landscaping).</w:t>
      </w:r>
    </w:p>
    <w:p>
      <w:r>
        <w:t>The 5- and 15-year buckets total $190,000 and qualify for 100% bonus depreciation. The 27.5-year shell continues on straight-line.</w:t>
      </w:r>
    </w:p>
    <w:tbl>
      <w:tblPr>
        <w:tblStyle w:val="TableGrid"/>
        <w:tblW w:type="auto" w:w="0"/>
        <w:tblLook w:firstColumn="1" w:firstRow="1" w:lastColumn="0" w:lastRow="0" w:noHBand="0" w:noVBand="1" w:val="04A0"/>
      </w:tblPr>
      <w:tblGrid>
        <w:gridCol w:w="2880"/>
        <w:gridCol w:w="2880"/>
        <w:gridCol w:w="2880"/>
      </w:tblGrid>
      <w:tr>
        <w:tc>
          <w:tcPr>
            <w:tcW w:type="dxa" w:w="2880"/>
          </w:tcPr>
          <w:p>
            <w:r/>
          </w:p>
        </w:tc>
        <w:tc>
          <w:tcPr>
            <w:tcW w:type="dxa" w:w="2880"/>
          </w:tcPr>
          <w:p>
            <w:r>
              <w:t>Without Cost Seg + Bonus</w:t>
            </w:r>
          </w:p>
        </w:tc>
        <w:tc>
          <w:tcPr>
            <w:tcW w:type="dxa" w:w="2880"/>
          </w:tcPr>
          <w:p>
            <w:r>
              <w:t>With Cost Seg + Bonus</w:t>
            </w:r>
          </w:p>
        </w:tc>
      </w:tr>
      <w:tr>
        <w:tc>
          <w:tcPr>
            <w:tcW w:type="dxa" w:w="2880"/>
          </w:tcPr>
          <w:p>
            <w:r>
              <w:t>Year-One Depreciation</w:t>
            </w:r>
          </w:p>
        </w:tc>
        <w:tc>
          <w:tcPr>
            <w:tcW w:type="dxa" w:w="2880"/>
          </w:tcPr>
          <w:p>
            <w:r>
              <w:t>≈ $20,000</w:t>
            </w:r>
          </w:p>
        </w:tc>
        <w:tc>
          <w:tcPr>
            <w:tcW w:type="dxa" w:w="2880"/>
          </w:tcPr>
          <w:p>
            <w:r>
              <w:t>≈ $203,000 ($13,000 shell + $190,000 bonus)</w:t>
            </w:r>
          </w:p>
        </w:tc>
      </w:tr>
      <w:tr>
        <w:tc>
          <w:tcPr>
            <w:tcW w:type="dxa" w:w="2880"/>
          </w:tcPr>
          <w:p>
            <w:r>
              <w:t>Year-One Tax Savings at 35%</w:t>
            </w:r>
          </w:p>
        </w:tc>
        <w:tc>
          <w:tcPr>
            <w:tcW w:type="dxa" w:w="2880"/>
          </w:tcPr>
          <w:p>
            <w:r>
              <w:t>≈ $7,000</w:t>
            </w:r>
          </w:p>
        </w:tc>
        <w:tc>
          <w:tcPr>
            <w:tcW w:type="dxa" w:w="2880"/>
          </w:tcPr>
          <w:p>
            <w:r>
              <w:t>≈ $71,000 (≈ $64,000 more cash flow)</w:t>
            </w:r>
          </w:p>
        </w:tc>
      </w:tr>
    </w:tbl>
    <w:p/>
    <w:p>
      <w:r>
        <w:rPr>
          <w:b/>
          <w:sz w:val="26"/>
        </w:rPr>
        <w:t>Key Action Steps for Investors &amp; Landlords</w:t>
      </w:r>
    </w:p>
    <w:p>
      <w:pPr>
        <w:pStyle w:val="ListBullet"/>
      </w:pPr>
      <w:r>
        <w:t>Review existing and upcoming property purchases for 2026 and later to estimate how much cost could be in 5-, 7-, and 15-year categories.</w:t>
      </w:r>
    </w:p>
    <w:p>
      <w:pPr>
        <w:pStyle w:val="ListBullet"/>
      </w:pPr>
      <w:r>
        <w:t>Ask your tax advisor whether a cost segregation study or planning-level analysis makes sense for your rentals or commercial properties.</w:t>
      </w:r>
    </w:p>
    <w:p>
      <w:pPr>
        <w:pStyle w:val="ListBullet"/>
      </w:pPr>
      <w:r>
        <w:t>Model the cash-flow impact of treating everything as a 27.5-/39-year building versus using cost segregation plus 100% bonus depreciation.</w:t>
      </w:r>
    </w:p>
    <w:p>
      <w:pPr>
        <w:pStyle w:val="ListBullet"/>
      </w:pPr>
      <w:r>
        <w:t>Document placed-in-service dates and renovation timelines so you can support bonus depreciation claims.</w:t>
      </w:r>
    </w:p>
    <w:p>
      <w:pPr>
        <w:pStyle w:val="ListBullet"/>
      </w:pPr>
      <w:r>
        <w:t>Consider how large first-year deductions fit into your broader tax strategy, including passive activity rules and loss limitations.</w:t>
      </w:r>
    </w:p>
    <w:p>
      <w:r>
        <w:rPr>
          <w:b/>
          <w:sz w:val="26"/>
        </w:rPr>
        <w:t>Key Action Steps for Tax Pros &amp; Advisors</w:t>
      </w:r>
    </w:p>
    <w:p>
      <w:pPr>
        <w:pStyle w:val="ListBullet"/>
      </w:pPr>
      <w:r>
        <w:t>Identify clients with recent or upcoming real estate acquisitions or major renovations where cost segregation could be impactful.</w:t>
      </w:r>
    </w:p>
    <w:p>
      <w:pPr>
        <w:pStyle w:val="ListBullet"/>
      </w:pPr>
      <w:r>
        <w:t>Educate clients on how reclassifying assets into 5-, 7-, and 15-year lives interacts with 100% bonus depreciation under current law.</w:t>
      </w:r>
    </w:p>
    <w:p>
      <w:pPr>
        <w:pStyle w:val="ListBullet"/>
      </w:pPr>
      <w:r>
        <w:t>Build side-by-side projections (no cost seg vs cost seg + bonus) to show the timing difference in deductions and tax savings.</w:t>
      </w:r>
    </w:p>
    <w:p>
      <w:pPr>
        <w:pStyle w:val="ListBullet"/>
      </w:pPr>
      <w:r>
        <w:t>Coordinate with cost segregation professionals when appropriate to obtain defensible reports and asset classifications.</w:t>
      </w:r>
    </w:p>
    <w:p>
      <w:pPr>
        <w:pStyle w:val="ListBullet"/>
      </w:pPr>
      <w:r>
        <w:t>Monitor legislative changes to bonus depreciation percentages while continuing to apply the same core classification principles.</w:t>
      </w:r>
    </w:p>
    <w:p>
      <w:r>
        <w:rPr>
          <w:b/>
          <w:sz w:val="18"/>
        </w:rPr>
        <w:t xml:space="preserve">Disclaimer: </w:t>
      </w:r>
      <w:r>
        <w:rPr>
          <w:sz w:val="18"/>
        </w:rPr>
        <w:t>This handout is for educational purposes only and does not constitute tax, legal, or financial advice. Tax rules may change, and the impact of any strategy depends on your specific facts. Consult your own qualified advisor before acting on any concept discussed in this course.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