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sz w:val="40"/>
        </w:rPr>
        <w:t>CS – M1 L4 Handout</w:t>
      </w:r>
    </w:p>
    <w:p>
      <w:r>
        <w:rPr>
          <w:rFonts w:ascii="Calibri" w:hAnsi="Calibri"/>
          <w:b/>
          <w:sz w:val="28"/>
        </w:rPr>
        <w:t>What’s Actually Inside Your Building</w:t>
      </w:r>
    </w:p>
    <w:p>
      <w:r>
        <w:rPr>
          <w:rFonts w:ascii="Calibri" w:hAnsi="Calibri"/>
          <w:b/>
          <w:sz w:val="26"/>
        </w:rPr>
        <w:t>Big Idea</w:t>
      </w:r>
    </w:p>
    <w:p>
      <w:r>
        <w:t>Once you stop seeing “a building” and start seeing separate components—5‑year, 15‑year, and long‑life structure—you can quickly spot where faster depreciation and bonus‑eligible assets are hiding. This lesson trains your eye to tag what’s outside and inside a property the way a cost segregation engineer and tax pro see it.</w:t>
      </w:r>
    </w:p>
    <w:p>
      <w:r>
        <w:rPr>
          <w:rFonts w:ascii="Calibri" w:hAnsi="Calibri"/>
          <w:b/>
          <w:sz w:val="26"/>
        </w:rPr>
        <w:t>Key Concepts – Quick Snapshot</w:t>
      </w:r>
    </w:p>
    <w:p>
      <w:pPr>
        <w:pStyle w:val="ListBullet"/>
      </w:pPr>
      <w:r>
        <w:t>Most properties are a mix of 5‑year personal property, 15‑year land improvements, and 27.5‑/39‑year building shell.</w:t>
      </w:r>
    </w:p>
    <w:p>
      <w:pPr>
        <w:pStyle w:val="ListBullet"/>
      </w:pPr>
      <w:r>
        <w:t>Site items like parking lots, drive lanes, sidewalks, fences, retaining walls, and exterior lighting are often 15‑year land improvements.</w:t>
      </w:r>
    </w:p>
    <w:p>
      <w:pPr>
        <w:pStyle w:val="ListBullet"/>
      </w:pPr>
      <w:r>
        <w:t>Interior items that are frequently replaced or tenant‑specific—like carpet/LVP, cabinets, decorative lighting, and appliances—are often 5‑year property.</w:t>
      </w:r>
    </w:p>
    <w:p>
      <w:pPr>
        <w:pStyle w:val="ListBullet"/>
      </w:pPr>
      <w:r>
        <w:t>Use a simple lens: structural vs functional vs decorative. Structural holds the building up (long life). Functional and decorative items tailored to a user often get shorter lives.</w:t>
      </w:r>
    </w:p>
    <w:p>
      <w:pPr>
        <w:pStyle w:val="ListBullet"/>
      </w:pPr>
      <w:r>
        <w:t>A planning‑level sketch for a typical project might be roughly: 5‑year (5–15%), 15‑year (5–20%), and the rest long‑life shell.</w:t>
      </w:r>
    </w:p>
    <w:p>
      <w:pPr>
        <w:pStyle w:val="ListBullet"/>
      </w:pPr>
      <w:r>
        <w:t>Short‑life components (5‑ and 15‑year) may qualify for bonus depreciation under current rules, creating large year‑one deductions.</w:t>
      </w:r>
    </w:p>
    <w:p>
      <w:pPr>
        <w:pStyle w:val="ListBullet"/>
      </w:pPr>
      <w:r>
        <w:t>Your job is not to do a full engineering study, but to recognize where short‑life assets live so you can make better buy, rehab, and planning decisions.</w:t>
      </w:r>
    </w:p>
    <w:p>
      <w:r>
        <w:rPr>
          <w:rFonts w:ascii="Calibri" w:hAnsi="Calibri"/>
          <w:b/>
          <w:sz w:val="26"/>
        </w:rPr>
        <w:t>Where Cost Seg Fits</w:t>
      </w:r>
    </w:p>
    <w:p>
      <w:r>
        <w:t xml:space="preserve">Cost segregation takes the “one big building” on a depreciation schedule and breaks it into separate components with different lives. When you already understand what’s likely 5‑year, 15‑year, and long‑life structure, you can: </w:t>
      </w:r>
    </w:p>
    <w:p>
      <w:pPr>
        <w:pStyle w:val="ListBullet"/>
      </w:pPr>
      <w:r>
        <w:t>Estimate how powerful a potential study could be before you order it.</w:t>
      </w:r>
    </w:p>
    <w:p>
      <w:pPr>
        <w:pStyle w:val="ListBullet"/>
      </w:pPr>
      <w:r>
        <w:t>Compare deals by how much short‑life, bonus‑eligible property they may contain.</w:t>
      </w:r>
    </w:p>
    <w:p>
      <w:pPr>
        <w:pStyle w:val="ListBullet"/>
      </w:pPr>
      <w:r>
        <w:t>Aim renovation dollars at components that fall into 5‑, 7‑, or 15‑year categories instead of only upgrading long‑life shell items.</w:t>
      </w:r>
    </w:p>
    <w:p>
      <w:pPr>
        <w:pStyle w:val="ListBullet"/>
      </w:pPr>
      <w:r>
        <w:t>Have better, more concrete conversations with tax pros, clients, and cost seg firms about what’s in the building and why it matters.</w:t>
      </w:r>
    </w:p>
    <w:p>
      <w:r>
        <w:rPr>
          <w:rFonts w:ascii="Calibri" w:hAnsi="Calibri"/>
          <w:b/>
          <w:sz w:val="26"/>
        </w:rPr>
        <w:t>Illustrative Example – Planning-Level Breakdown</w:t>
      </w:r>
    </w:p>
    <w:p>
      <w:r>
        <w:t>Assume a project with $1,000,000 of depreciable basis (land already removed). A basic planning‑level classification might look like this for a typical rental or small commercial building:</w:t>
      </w:r>
    </w:p>
    <w:tbl>
      <w:tblPr>
        <w:tblW w:type="auto" w:w="0"/>
        <w:jc w:val="center"/>
        <w:tblLook w:firstColumn="1" w:firstRow="1" w:lastColumn="0" w:lastRow="0" w:noHBand="0" w:noVBand="1" w:val="04A0"/>
      </w:tblPr>
      <w:tblGrid>
        <w:gridCol w:w="2880"/>
        <w:gridCol w:w="2880"/>
        <w:gridCol w:w="2880"/>
      </w:tblGrid>
      <w:tr>
        <w:tc>
          <w:tcPr>
            <w:tcW w:type="dxa" w:w="2880"/>
          </w:tcPr>
          <w:p>
            <w:r>
              <w:t>Bucket</w:t>
            </w:r>
          </w:p>
        </w:tc>
        <w:tc>
          <w:tcPr>
            <w:tcW w:type="dxa" w:w="2880"/>
          </w:tcPr>
          <w:p>
            <w:r>
              <w:t>Approx. % of Basis</w:t>
            </w:r>
          </w:p>
        </w:tc>
        <w:tc>
          <w:tcPr>
            <w:tcW w:type="dxa" w:w="2880"/>
          </w:tcPr>
          <w:p>
            <w:r>
              <w:t>Dollar Amount</w:t>
            </w:r>
          </w:p>
        </w:tc>
      </w:tr>
      <w:tr>
        <w:tc>
          <w:tcPr>
            <w:tcW w:type="dxa" w:w="2880"/>
          </w:tcPr>
          <w:p>
            <w:r>
              <w:t>5‑year personal property</w:t>
            </w:r>
          </w:p>
        </w:tc>
        <w:tc>
          <w:tcPr>
            <w:tcW w:type="dxa" w:w="2880"/>
          </w:tcPr>
          <w:p>
            <w:r>
              <w:t>8%</w:t>
            </w:r>
          </w:p>
        </w:tc>
        <w:tc>
          <w:tcPr>
            <w:tcW w:type="dxa" w:w="2880"/>
          </w:tcPr>
          <w:p>
            <w:r>
              <w:t>$80,000</w:t>
            </w:r>
          </w:p>
        </w:tc>
      </w:tr>
      <w:tr>
        <w:tc>
          <w:tcPr>
            <w:tcW w:type="dxa" w:w="2880"/>
          </w:tcPr>
          <w:p>
            <w:r>
              <w:t>15‑year land improvements</w:t>
            </w:r>
          </w:p>
        </w:tc>
        <w:tc>
          <w:tcPr>
            <w:tcW w:type="dxa" w:w="2880"/>
          </w:tcPr>
          <w:p>
            <w:r>
              <w:t>14%</w:t>
            </w:r>
          </w:p>
        </w:tc>
        <w:tc>
          <w:tcPr>
            <w:tcW w:type="dxa" w:w="2880"/>
          </w:tcPr>
          <w:p>
            <w:r>
              <w:t>$140,000</w:t>
            </w:r>
          </w:p>
        </w:tc>
      </w:tr>
      <w:tr>
        <w:tc>
          <w:tcPr>
            <w:tcW w:type="dxa" w:w="2880"/>
          </w:tcPr>
          <w:p>
            <w:r>
              <w:t>27.5‑/39‑year building shell</w:t>
            </w:r>
          </w:p>
        </w:tc>
        <w:tc>
          <w:tcPr>
            <w:tcW w:type="dxa" w:w="2880"/>
          </w:tcPr>
          <w:p>
            <w:r>
              <w:t>78%</w:t>
            </w:r>
          </w:p>
        </w:tc>
        <w:tc>
          <w:tcPr>
            <w:tcW w:type="dxa" w:w="2880"/>
          </w:tcPr>
          <w:p>
            <w:r>
              <w:t>$780,000</w:t>
            </w:r>
          </w:p>
        </w:tc>
      </w:tr>
    </w:tbl>
    <w:p>
      <w:r>
        <w:t>In this sketch, 5‑year plus 15‑year assets equal 22% of the project, or about $220,000 of basis that may be bonus‑eligible under current rules. A formal cost segregation study uses detailed engineering and documentation to refine these numbers, but this kind of estimate helps you compare properties and decide when a study is worth pursuing.</w:t>
      </w:r>
    </w:p>
    <w:p>
      <w:r>
        <w:rPr>
          <w:rFonts w:ascii="Calibri" w:hAnsi="Calibri"/>
          <w:b/>
          <w:sz w:val="26"/>
        </w:rPr>
        <w:t>Key Action Steps for Investors &amp; Landlords</w:t>
      </w:r>
    </w:p>
    <w:p>
      <w:pPr>
        <w:pStyle w:val="ListBullet"/>
      </w:pPr>
      <w:r>
        <w:t>Pick one property you own or are evaluating and do a simple “on paper” walk‑through: site improvements, interior components, and building shell.</w:t>
      </w:r>
    </w:p>
    <w:p>
      <w:pPr>
        <w:pStyle w:val="ListBullet"/>
      </w:pPr>
      <w:r>
        <w:t>List obvious 15‑year land improvements (parking, sidewalks, fences, exterior lighting, retaining walls, hardscape areas).</w:t>
      </w:r>
    </w:p>
    <w:p>
      <w:pPr>
        <w:pStyle w:val="ListBullet"/>
      </w:pPr>
      <w:r>
        <w:t>List obvious 5‑year interior items (flooring that turns over with tenants, cabinets, decorative lighting, appliances, specialty fixtures).</w:t>
      </w:r>
    </w:p>
    <w:p>
      <w:pPr>
        <w:pStyle w:val="ListBullet"/>
      </w:pPr>
      <w:r>
        <w:t>Identify planned renovations and flag which items fall into potential 5‑, 7‑, or 15‑year categories rather than long‑life structure.</w:t>
      </w:r>
    </w:p>
    <w:p>
      <w:pPr>
        <w:pStyle w:val="ListBullet"/>
      </w:pPr>
      <w:r>
        <w:t>Ask your tax advisor or cost seg provider for a high‑level estimate of potential bonus‑eligible basis on larger projects.</w:t>
      </w:r>
    </w:p>
    <w:p>
      <w:pPr>
        <w:pStyle w:val="ListBullet"/>
      </w:pPr>
      <w:r>
        <w:t>Use this component mindset when comparing two deals—favor properties or projects with more short‑life, bonus‑eligible improvements when the economics make sense.</w:t>
      </w:r>
    </w:p>
    <w:p>
      <w:r>
        <w:rPr>
          <w:rFonts w:ascii="Calibri" w:hAnsi="Calibri"/>
          <w:b/>
          <w:sz w:val="26"/>
        </w:rPr>
        <w:t>Key Action Steps for Tax Pros &amp; Advisors</w:t>
      </w:r>
    </w:p>
    <w:p>
      <w:pPr>
        <w:pStyle w:val="ListBullet"/>
      </w:pPr>
      <w:r>
        <w:t>Review key client properties and separate them mentally into 5‑year, 15‑year, and long‑life buckets using the structural/functional/decorative lens.</w:t>
      </w:r>
    </w:p>
    <w:p>
      <w:pPr>
        <w:pStyle w:val="ListBullet"/>
      </w:pPr>
      <w:r>
        <w:t>Build a simple intake checklist that asks about site improvements, interior finishes, appliances, and tenant‑specific equipment for new acquisitions and major rehabs.</w:t>
      </w:r>
    </w:p>
    <w:p>
      <w:pPr>
        <w:pStyle w:val="ListBullet"/>
      </w:pPr>
      <w:r>
        <w:t>Use planning‑level percentages (for example, 5–15% 5‑year, 5–20% 15‑year) to screen which projects merit a formal cost segregation study.</w:t>
      </w:r>
    </w:p>
    <w:p>
      <w:pPr>
        <w:pStyle w:val="ListBullet"/>
      </w:pPr>
      <w:r>
        <w:t>Educate clients on the difference between structural items and tenant‑specific or decorative components so they can communicate clearly with contractors and engineers.</w:t>
      </w:r>
    </w:p>
    <w:p>
      <w:pPr>
        <w:pStyle w:val="ListBullet"/>
      </w:pPr>
      <w:r>
        <w:t>Coordinate with cost segregation firms early in the project cycle, especially on larger rehabs or new construction, to capture detailed invoices and plans.</w:t>
      </w:r>
    </w:p>
    <w:p>
      <w:pPr>
        <w:pStyle w:val="ListBullet"/>
      </w:pPr>
      <w:r>
        <w:t>Document your reasoning and any third‑party studies carefully in the workpapers to support depreciation positions under examination.</w:t>
      </w:r>
    </w:p>
    <w:p>
      <w:r>
        <w:rPr>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