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i w:val="0"/>
          <w:sz w:val="40"/>
        </w:rPr>
        <w:t>CS – M1 L5 Handout</w:t>
      </w:r>
    </w:p>
    <w:p>
      <w:r>
        <w:rPr>
          <w:rFonts w:ascii="Calibri" w:hAnsi="Calibri"/>
          <w:b/>
          <w:i w:val="0"/>
          <w:sz w:val="28"/>
        </w:rPr>
        <w:t>One Full Example: $900,000 Property with Cost Segregation</w:t>
      </w:r>
    </w:p>
    <w:p/>
    <w:p>
      <w:r>
        <w:rPr>
          <w:rFonts w:ascii="Calibri" w:hAnsi="Calibri"/>
          <w:b/>
          <w:i w:val="0"/>
          <w:sz w:val="26"/>
        </w:rPr>
        <w:t>Big Idea</w:t>
      </w:r>
    </w:p>
    <w:p>
      <w:r>
        <w:rPr>
          <w:rFonts w:ascii="Calibri" w:hAnsi="Calibri"/>
          <w:b w:val="0"/>
          <w:i w:val="0"/>
          <w:sz w:val="22"/>
        </w:rPr>
        <w:t>A single $900,000 rental property can create roughly $60,000 more first-year tax savings when you separate short-life components (5- and 15-year property) from the 27.5-year building and apply 100% bonus depreciation, instead of treating the entire building as one slow-drip asset.</w:t>
      </w:r>
    </w:p>
    <w:p>
      <w:r>
        <w:rPr>
          <w:rFonts w:ascii="Calibri" w:hAnsi="Calibri"/>
          <w:b/>
          <w:i w:val="0"/>
          <w:sz w:val="26"/>
        </w:rPr>
        <w:t>Key Concepts / Quick Snapshot</w:t>
      </w:r>
    </w:p>
    <w:p>
      <w:pPr>
        <w:pStyle w:val="ListBullet"/>
      </w:pPr>
      <w:r>
        <w:rPr>
          <w:rFonts w:ascii="Calibri" w:hAnsi="Calibri"/>
          <w:b w:val="0"/>
          <w:i w:val="0"/>
          <w:sz w:val="22"/>
        </w:rPr>
        <w:t>Total purchase price is split between non-depreciable land and depreciable building/improvements.</w:t>
      </w:r>
    </w:p>
    <w:p>
      <w:pPr>
        <w:pStyle w:val="ListBullet"/>
      </w:pPr>
      <w:r>
        <w:rPr>
          <w:rFonts w:ascii="Calibri" w:hAnsi="Calibri"/>
          <w:b w:val="0"/>
          <w:i w:val="0"/>
          <w:sz w:val="22"/>
        </w:rPr>
        <w:t>In the example, 20% of the $900,000 price is land ($180,000), leaving $720,000 of depreciable basis.</w:t>
      </w:r>
    </w:p>
    <w:p>
      <w:pPr>
        <w:pStyle w:val="ListBullet"/>
      </w:pPr>
      <w:r>
        <w:rPr>
          <w:rFonts w:ascii="Calibri" w:hAnsi="Calibri"/>
          <w:b w:val="0"/>
          <w:i w:val="0"/>
          <w:sz w:val="22"/>
        </w:rPr>
        <w:t>That $720,000 can be reasonably allocated as 5-year property, 15-year land improvements, and 27.5-year building shell.</w:t>
      </w:r>
    </w:p>
    <w:p>
      <w:pPr>
        <w:pStyle w:val="ListBullet"/>
      </w:pPr>
      <w:r>
        <w:rPr>
          <w:rFonts w:ascii="Calibri" w:hAnsi="Calibri"/>
          <w:b w:val="0"/>
          <w:i w:val="0"/>
          <w:sz w:val="22"/>
        </w:rPr>
        <w:t>Short-life property (5- and 15-year) qualifies for 100% bonus depreciation in the Big Beautiful Tax Bill environment.</w:t>
      </w:r>
    </w:p>
    <w:p>
      <w:pPr>
        <w:pStyle w:val="ListBullet"/>
      </w:pPr>
      <w:r>
        <w:rPr>
          <w:rFonts w:ascii="Calibri" w:hAnsi="Calibri"/>
          <w:b w:val="0"/>
          <w:i w:val="0"/>
          <w:sz w:val="22"/>
        </w:rPr>
        <w:t>Without cost segregation, all $720,000 is depreciated over 27.5 years – about $26,200 in year one.</w:t>
      </w:r>
    </w:p>
    <w:p>
      <w:pPr>
        <w:pStyle w:val="ListBullet"/>
      </w:pPr>
      <w:r>
        <w:rPr>
          <w:rFonts w:ascii="Calibri" w:hAnsi="Calibri"/>
          <w:b w:val="0"/>
          <w:i w:val="0"/>
          <w:sz w:val="22"/>
        </w:rPr>
        <w:t>With cost segregation + bonus, year-one depreciation jumps to about $199,600 on the same property.</w:t>
      </w:r>
    </w:p>
    <w:p>
      <w:pPr>
        <w:pStyle w:val="ListBullet"/>
      </w:pPr>
      <w:r>
        <w:rPr>
          <w:rFonts w:ascii="Calibri" w:hAnsi="Calibri"/>
          <w:b w:val="0"/>
          <w:i w:val="0"/>
          <w:sz w:val="22"/>
        </w:rPr>
        <w:t>At a 35% marginal tax rate, that timing difference translates into roughly $60,000 more tax savings in year one.</w:t>
      </w:r>
    </w:p>
    <w:p>
      <w:r>
        <w:rPr>
          <w:rFonts w:ascii="Calibri" w:hAnsi="Calibri"/>
          <w:b/>
          <w:i w:val="0"/>
          <w:sz w:val="26"/>
        </w:rPr>
        <w:t>Where Cost Seg Fits in Your Strategy</w:t>
      </w:r>
    </w:p>
    <w:p>
      <w:r>
        <w:rPr>
          <w:rFonts w:ascii="Calibri" w:hAnsi="Calibri"/>
          <w:b w:val="0"/>
          <w:i w:val="0"/>
          <w:sz w:val="22"/>
        </w:rPr>
        <w:t>Cost segregation is not about creating extra deductions out of thin air. It is a timing strategy that pulls future depreciation into the year you place the property in service. For investors and tax pros, this matters most in high-income years, when large first-year deductions can offset rental income or, under the right facts, other types of income.</w:t>
      </w:r>
    </w:p>
    <w:p>
      <w:r>
        <w:rPr>
          <w:rFonts w:ascii="Calibri" w:hAnsi="Calibri"/>
          <w:b w:val="0"/>
          <w:i w:val="0"/>
          <w:sz w:val="22"/>
        </w:rPr>
        <w:t>In this lesson’s framework, cost segregation helps you:</w:t>
      </w:r>
    </w:p>
    <w:p>
      <w:pPr>
        <w:pStyle w:val="ListBullet"/>
      </w:pPr>
      <w:r>
        <w:rPr>
          <w:rFonts w:ascii="Calibri" w:hAnsi="Calibri"/>
          <w:b w:val="0"/>
          <w:i w:val="0"/>
          <w:sz w:val="22"/>
        </w:rPr>
        <w:t>Identify which parts of a property are truly long-life building vs. short-life assets.</w:t>
      </w:r>
    </w:p>
    <w:p>
      <w:pPr>
        <w:pStyle w:val="ListBullet"/>
      </w:pPr>
      <w:r>
        <w:rPr>
          <w:rFonts w:ascii="Calibri" w:hAnsi="Calibri"/>
          <w:b w:val="0"/>
          <w:i w:val="0"/>
          <w:sz w:val="22"/>
        </w:rPr>
        <w:t>Quantify how much basis can move into 5-year and 15-year buckets that qualify for bonus depreciation.</w:t>
      </w:r>
    </w:p>
    <w:p>
      <w:pPr>
        <w:pStyle w:val="ListBullet"/>
      </w:pPr>
      <w:r>
        <w:rPr>
          <w:rFonts w:ascii="Calibri" w:hAnsi="Calibri"/>
          <w:b w:val="0"/>
          <w:i w:val="0"/>
          <w:sz w:val="22"/>
        </w:rPr>
        <w:t>See the cash-flow and tax impact of front-loading deductions in the acquisition year.</w:t>
      </w:r>
    </w:p>
    <w:p>
      <w:pPr>
        <w:pStyle w:val="ListBullet"/>
      </w:pPr>
      <w:r>
        <w:rPr>
          <w:rFonts w:ascii="Calibri" w:hAnsi="Calibri"/>
          <w:b w:val="0"/>
          <w:i w:val="0"/>
          <w:sz w:val="22"/>
        </w:rPr>
        <w:t>Decide when a professional cost seg study is justified based on property size, complexity, and client goals.</w:t>
      </w:r>
    </w:p>
    <w:p>
      <w:r>
        <w:rPr>
          <w:rFonts w:ascii="Calibri" w:hAnsi="Calibri"/>
          <w:b/>
          <w:i w:val="0"/>
          <w:sz w:val="26"/>
        </w:rPr>
        <w:t>Illustrative Example – $900,000 Residential Rental</w:t>
      </w:r>
    </w:p>
    <w:p>
      <w:r>
        <w:rPr>
          <w:rFonts w:ascii="Calibri" w:hAnsi="Calibri"/>
          <w:b w:val="0"/>
          <w:i w:val="0"/>
          <w:sz w:val="22"/>
        </w:rPr>
        <w:t>Assume an investor buys a $900,000 small multifamily property in 2026. Land is estimated at 20% of the purchase price ($180,000), leaving $720,000 of depreciable basis. A planning-level cost segregation allocation might look like this:</w:t>
      </w:r>
    </w:p>
    <w:p>
      <w:pPr>
        <w:pStyle w:val="ListBullet"/>
      </w:pPr>
      <w:r>
        <w:rPr>
          <w:rFonts w:ascii="Calibri" w:hAnsi="Calibri"/>
          <w:b w:val="0"/>
          <w:i w:val="0"/>
          <w:sz w:val="22"/>
        </w:rPr>
        <w:t>5-year property (appliances, certain flooring, interior fixtures): 12.5% of $720,000 = $90,000.</w:t>
      </w:r>
    </w:p>
    <w:p>
      <w:pPr>
        <w:pStyle w:val="ListBullet"/>
      </w:pPr>
      <w:r>
        <w:rPr>
          <w:rFonts w:ascii="Calibri" w:hAnsi="Calibri"/>
          <w:b w:val="0"/>
          <w:i w:val="0"/>
          <w:sz w:val="22"/>
        </w:rPr>
        <w:t>15-year land improvements (parking, sidewalks, fencing, exterior lighting, landscaping features): 12.5% of $720,000 = $90,000.</w:t>
      </w:r>
    </w:p>
    <w:p>
      <w:pPr>
        <w:pStyle w:val="ListBullet"/>
      </w:pPr>
      <w:r>
        <w:rPr>
          <w:rFonts w:ascii="Calibri" w:hAnsi="Calibri"/>
          <w:b w:val="0"/>
          <w:i w:val="0"/>
          <w:sz w:val="22"/>
        </w:rPr>
        <w:t>27.5-year building shell (structure, roof, core systems): 75% of $720,000 = $540,000.</w:t>
      </w:r>
    </w:p>
    <w:p>
      <w:r>
        <w:rPr>
          <w:rFonts w:ascii="Calibri" w:hAnsi="Calibri"/>
          <w:b w:val="0"/>
          <w:i w:val="0"/>
          <w:sz w:val="22"/>
        </w:rPr>
        <w:t>Under current Big Beautiful Tax Bill rules, the 5-year and 15-year assets (total $180,000) can qualify for 100% bonus depreciation. The long-life building shell is depreciated over 27.5 years.</w:t>
      </w:r>
    </w:p>
    <w:tbl>
      <w:tblPr>
        <w:tblStyle w:val="TableGrid"/>
        <w:tblW w:type="auto" w:w="0"/>
        <w:tblLook w:firstColumn="1" w:firstRow="1" w:lastColumn="0" w:lastRow="0" w:noHBand="0" w:noVBand="1" w:val="04A0"/>
      </w:tblPr>
      <w:tblGrid>
        <w:gridCol w:w="4320"/>
        <w:gridCol w:w="4320"/>
      </w:tblGrid>
      <w:tr>
        <w:tc>
          <w:tcPr>
            <w:tcW w:type="dxa" w:w="4320"/>
          </w:tcPr>
          <w:p>
            <w:r>
              <w:rPr>
                <w:rFonts w:ascii="Calibri" w:hAnsi="Calibri"/>
                <w:b w:val="0"/>
                <w:i w:val="0"/>
                <w:sz w:val="22"/>
              </w:rPr>
              <w:t>Without Cost Seg (All 27.5-Year)</w:t>
            </w:r>
          </w:p>
        </w:tc>
        <w:tc>
          <w:tcPr>
            <w:tcW w:type="dxa" w:w="4320"/>
          </w:tcPr>
          <w:p>
            <w:r>
              <w:rPr>
                <w:rFonts w:ascii="Calibri" w:hAnsi="Calibri"/>
                <w:b w:val="0"/>
                <w:i w:val="0"/>
                <w:sz w:val="22"/>
              </w:rPr>
              <w:t>With Cost Seg + 100% Bonus</w:t>
            </w:r>
          </w:p>
        </w:tc>
      </w:tr>
      <w:tr>
        <w:tc>
          <w:tcPr>
            <w:tcW w:type="dxa" w:w="4320"/>
          </w:tcPr>
          <w:p>
            <w:r>
              <w:rPr>
                <w:rFonts w:ascii="Calibri" w:hAnsi="Calibri"/>
                <w:b w:val="0"/>
                <w:i w:val="0"/>
                <w:sz w:val="22"/>
              </w:rPr>
              <w:t>Year-one depreciation ≈ $26,200</w:t>
              <w:br/>
              <w:t>($720,000 ÷ 27.5 years)</w:t>
            </w:r>
          </w:p>
        </w:tc>
        <w:tc>
          <w:tcPr>
            <w:tcW w:type="dxa" w:w="4320"/>
          </w:tcPr>
          <w:p>
            <w:r>
              <w:rPr>
                <w:rFonts w:ascii="Calibri" w:hAnsi="Calibri"/>
                <w:b w:val="0"/>
                <w:i w:val="0"/>
                <w:sz w:val="22"/>
              </w:rPr>
              <w:t>Year-one depreciation ≈ $199,600</w:t>
              <w:br/>
              <w:t>($19,600 building + $180,000 bonus)</w:t>
            </w:r>
          </w:p>
        </w:tc>
      </w:tr>
      <w:tr>
        <w:tc>
          <w:tcPr>
            <w:tcW w:type="dxa" w:w="4320"/>
          </w:tcPr>
          <w:p>
            <w:r>
              <w:rPr>
                <w:rFonts w:ascii="Calibri" w:hAnsi="Calibri"/>
                <w:b w:val="0"/>
                <w:i w:val="0"/>
                <w:sz w:val="22"/>
              </w:rPr>
              <w:t>Rough tax savings at 35% ≈ $9,170</w:t>
            </w:r>
          </w:p>
        </w:tc>
        <w:tc>
          <w:tcPr>
            <w:tcW w:type="dxa" w:w="4320"/>
          </w:tcPr>
          <w:p>
            <w:r>
              <w:rPr>
                <w:rFonts w:ascii="Calibri" w:hAnsi="Calibri"/>
                <w:b w:val="0"/>
                <w:i w:val="0"/>
                <w:sz w:val="22"/>
              </w:rPr>
              <w:t>Rough tax savings at 35% ≈ $69,860</w:t>
              <w:br/>
              <w:t>≈ $60,690 more in year-one tax savings</w:t>
            </w:r>
          </w:p>
        </w:tc>
      </w:tr>
    </w:tbl>
    <w:p>
      <w:r>
        <w:rPr>
          <w:rFonts w:ascii="Calibri" w:hAnsi="Calibri"/>
          <w:b/>
          <w:i w:val="0"/>
          <w:sz w:val="26"/>
        </w:rPr>
        <w:t>Key Action Steps for Investors &amp; Landlords</w:t>
      </w:r>
    </w:p>
    <w:p>
      <w:pPr>
        <w:pStyle w:val="ListBullet"/>
      </w:pPr>
      <w:r>
        <w:rPr>
          <w:rFonts w:ascii="Calibri" w:hAnsi="Calibri"/>
          <w:b w:val="0"/>
          <w:i w:val="0"/>
          <w:sz w:val="22"/>
        </w:rPr>
        <w:t>List your existing or planned rental properties and note purchase price, year placed in service, and basic land vs. building split.</w:t>
      </w:r>
    </w:p>
    <w:p>
      <w:pPr>
        <w:pStyle w:val="ListBullet"/>
      </w:pPr>
      <w:r>
        <w:rPr>
          <w:rFonts w:ascii="Calibri" w:hAnsi="Calibri"/>
          <w:b w:val="0"/>
          <w:i w:val="0"/>
          <w:sz w:val="22"/>
        </w:rPr>
        <w:t>For any property in the $500,000+ range, estimate how much of the building might fall into 5-year and 15-year categories using rough percentages (for example, 10–15% each).</w:t>
      </w:r>
    </w:p>
    <w:p>
      <w:pPr>
        <w:pStyle w:val="ListBullet"/>
      </w:pPr>
      <w:r>
        <w:rPr>
          <w:rFonts w:ascii="Calibri" w:hAnsi="Calibri"/>
          <w:b w:val="0"/>
          <w:i w:val="0"/>
          <w:sz w:val="22"/>
        </w:rPr>
        <w:t>Run a simple comparison of year-one depreciation with and without cost segregation to see the potential tax difference.</w:t>
      </w:r>
    </w:p>
    <w:p>
      <w:pPr>
        <w:pStyle w:val="ListBullet"/>
      </w:pPr>
      <w:r>
        <w:rPr>
          <w:rFonts w:ascii="Calibri" w:hAnsi="Calibri"/>
          <w:b w:val="0"/>
          <w:i w:val="0"/>
          <w:sz w:val="22"/>
        </w:rPr>
        <w:t>Pay extra attention to years when your income is high or when you expect large capital gains—front-loaded depreciation may be especially valuable then.</w:t>
      </w:r>
    </w:p>
    <w:p>
      <w:pPr>
        <w:pStyle w:val="ListBullet"/>
      </w:pPr>
      <w:r>
        <w:rPr>
          <w:rFonts w:ascii="Calibri" w:hAnsi="Calibri"/>
          <w:b w:val="0"/>
          <w:i w:val="0"/>
          <w:sz w:val="22"/>
        </w:rPr>
        <w:t>If a property looks promising, talk with a knowledgeable tax advisor about whether a formal cost seg study is warranted.</w:t>
      </w:r>
    </w:p>
    <w:p>
      <w:r>
        <w:rPr>
          <w:rFonts w:ascii="Calibri" w:hAnsi="Calibri"/>
          <w:b/>
          <w:i w:val="0"/>
          <w:sz w:val="26"/>
        </w:rPr>
        <w:t>Key Action Steps for Tax Pros &amp; Advisors</w:t>
      </w:r>
    </w:p>
    <w:p>
      <w:pPr>
        <w:pStyle w:val="ListBullet"/>
      </w:pPr>
      <w:r>
        <w:rPr>
          <w:rFonts w:ascii="Calibri" w:hAnsi="Calibri"/>
          <w:b w:val="0"/>
          <w:i w:val="0"/>
          <w:sz w:val="22"/>
        </w:rPr>
        <w:t>Identify clients with recent or upcoming acquisitions in the mid- to high-six-figure range (and above) and note property type, price, and land allocation.</w:t>
      </w:r>
    </w:p>
    <w:p>
      <w:pPr>
        <w:pStyle w:val="ListBullet"/>
      </w:pPr>
      <w:r>
        <w:rPr>
          <w:rFonts w:ascii="Calibri" w:hAnsi="Calibri"/>
          <w:b w:val="0"/>
          <w:i w:val="0"/>
          <w:sz w:val="22"/>
        </w:rPr>
        <w:t>Use planning-level percentages to model 5-year, 15-year, and 27.5-year buckets and estimate potential bonus-eligible basis.</w:t>
      </w:r>
    </w:p>
    <w:p>
      <w:pPr>
        <w:pStyle w:val="ListBullet"/>
      </w:pPr>
      <w:r>
        <w:rPr>
          <w:rFonts w:ascii="Calibri" w:hAnsi="Calibri"/>
          <w:b w:val="0"/>
          <w:i w:val="0"/>
          <w:sz w:val="22"/>
        </w:rPr>
        <w:t>Compare first-year depreciation and rough tax savings under a standard 27.5-year approach vs. cost segregation with bonus to frame the conversation.</w:t>
      </w:r>
    </w:p>
    <w:p>
      <w:pPr>
        <w:pStyle w:val="ListBullet"/>
      </w:pPr>
      <w:r>
        <w:rPr>
          <w:rFonts w:ascii="Calibri" w:hAnsi="Calibri"/>
          <w:b w:val="0"/>
          <w:i w:val="0"/>
          <w:sz w:val="22"/>
        </w:rPr>
        <w:t>Evaluate whether clients have the right type of income (and status under the passive activity rules) to benefit from large upfront deductions.</w:t>
      </w:r>
    </w:p>
    <w:p>
      <w:pPr>
        <w:pStyle w:val="ListBullet"/>
      </w:pPr>
      <w:r>
        <w:rPr>
          <w:rFonts w:ascii="Calibri" w:hAnsi="Calibri"/>
          <w:b w:val="0"/>
          <w:i w:val="0"/>
          <w:sz w:val="22"/>
        </w:rPr>
        <w:t>Flag properties that are large or complex enough to justify an engineering-based cost segregation study, and coordinate timing with the client’s overall tax plan.</w:t>
      </w:r>
    </w:p>
    <w:p>
      <w:r>
        <w:rPr>
          <w:rFonts w:ascii="Calibri" w:hAnsi="Calibri"/>
          <w:b w:val="0"/>
          <w:i w:val="0"/>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