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CS – M1 L6 Handout</w:t>
      </w:r>
    </w:p>
    <w:p>
      <w:r>
        <w:rPr>
          <w:b/>
          <w:sz w:val="28"/>
        </w:rPr>
        <w:t>What Cost Seg Does NOT Do</w:t>
      </w:r>
    </w:p>
    <w:p>
      <w:r>
        <w:rPr>
          <w:b/>
          <w:sz w:val="26"/>
        </w:rPr>
        <w:t>Big Idea</w:t>
      </w:r>
    </w:p>
    <w:p>
      <w:r>
        <w:t>Cost segregation is a powerful timing tool for depreciation, but it is not magic. It does not create extra total depreciation, fix a weak deal, or guarantee an immediate tax refund. When you understand its limits—passive loss rules, cash flow realities, and depreciation recapture—you can plug cost seg into a realistic multi‑year plan instead of relying on hype.</w:t>
      </w:r>
    </w:p>
    <w:p>
      <w:r>
        <w:rPr>
          <w:b/>
          <w:sz w:val="26"/>
        </w:rPr>
        <w:t>Key Concepts – Quick Snapshot</w:t>
      </w:r>
    </w:p>
    <w:p>
      <w:pPr>
        <w:pStyle w:val="ListBullet"/>
      </w:pPr>
      <w:r>
        <w:t>Cost segregation does not increase total depreciation; it only changes when deductions are claimed over the life of the property.</w:t>
      </w:r>
    </w:p>
    <w:p>
      <w:pPr>
        <w:pStyle w:val="ListBullet"/>
      </w:pPr>
      <w:r>
        <w:t>Your depreciable basis (building and improvements, excluding land) is the ceiling for total depreciation.</w:t>
      </w:r>
    </w:p>
    <w:p>
      <w:pPr>
        <w:pStyle w:val="ListBullet"/>
      </w:pPr>
      <w:r>
        <w:t>Bonus depreciation and short‑life assets (20 years or less) allow larger deductions earlier, but reduce deductions later.</w:t>
      </w:r>
    </w:p>
    <w:p>
      <w:pPr>
        <w:pStyle w:val="ListBullet"/>
      </w:pPr>
      <w:r>
        <w:t>Passive loss rules control when cost seg losses actually offset other income; large losses can be suspended and carried forward.</w:t>
      </w:r>
    </w:p>
    <w:p>
      <w:pPr>
        <w:pStyle w:val="ListBullet"/>
      </w:pPr>
      <w:r>
        <w:t>Cost segregation cannot fix negative cash flow, bad financing, or weak property fundamentals.</w:t>
      </w:r>
    </w:p>
    <w:p>
      <w:pPr>
        <w:pStyle w:val="ListBullet"/>
      </w:pPr>
      <w:r>
        <w:t>Accelerated depreciation increases potential depreciation recapture when you sell, which must be planned for.</w:t>
      </w:r>
    </w:p>
    <w:p>
      <w:pPr>
        <w:pStyle w:val="ListBullet"/>
      </w:pPr>
      <w:r>
        <w:t>The real value of cost seg is using timing to match deductions with high‑tax years and funding better long‑term decisions.</w:t>
      </w:r>
    </w:p>
    <w:p>
      <w:r>
        <w:rPr>
          <w:b/>
          <w:sz w:val="26"/>
        </w:rPr>
        <w:t>Where Cost Seg Fits in the Bigger Picture</w:t>
      </w:r>
    </w:p>
    <w:p>
      <w:r>
        <w:t>Cost segregation is one piece of an overall tax and investment strategy. It should be layered on top of properties that already make sense on their own and coordinated with how you qualify under the passive loss rules and how you plan to exit the investment.</w:t>
      </w:r>
    </w:p>
    <w:p>
      <w:pPr>
        <w:pStyle w:val="ListBullet"/>
      </w:pPr>
      <w:r>
        <w:t>Start with the basics: does the property pencil out before tax benefits?</w:t>
      </w:r>
    </w:p>
    <w:p>
      <w:pPr>
        <w:pStyle w:val="ListBullet"/>
      </w:pPr>
      <w:r>
        <w:t>Use cost seg to front‑load deductions in high‑income or high‑tax years.</w:t>
      </w:r>
    </w:p>
    <w:p>
      <w:pPr>
        <w:pStyle w:val="ListBullet"/>
      </w:pPr>
      <w:r>
        <w:t>Coordinate cost seg with real estate professional status or qualifying short‑term rental activity when possible.</w:t>
      </w:r>
    </w:p>
    <w:p>
      <w:pPr>
        <w:pStyle w:val="ListBullet"/>
      </w:pPr>
      <w:r>
        <w:t>Plan ahead for exit using strategies such as longer holding periods, loss planning, or like‑kind exchanges under current law.</w:t>
      </w:r>
    </w:p>
    <w:p>
      <w:r>
        <w:rPr>
          <w:b/>
          <w:sz w:val="26"/>
        </w:rPr>
        <w:t>Illustrative Example – Same Total Depreciation, Different Timing</w:t>
      </w:r>
    </w:p>
    <w:p>
      <w:r>
        <w:t>Assume a rental property has a depreciable basis of $720,000 (building and improvements only, land excluded). You are deciding whether to leave it on a straight 27.5‑year schedule or to perform a cost segregation study and claim bonus depreciation on the short‑life components.</w:t>
      </w:r>
    </w:p>
    <w:tbl>
      <w:tblPr>
        <w:tblW w:type="auto" w:w="0"/>
        <w:tblLook w:firstColumn="1" w:firstRow="1" w:lastColumn="0" w:lastRow="0" w:noHBand="0" w:noVBand="1" w:val="04A0"/>
      </w:tblPr>
      <w:tblGrid>
        <w:gridCol w:w="2880"/>
        <w:gridCol w:w="2880"/>
        <w:gridCol w:w="2880"/>
      </w:tblGrid>
      <w:tr>
        <w:tc>
          <w:tcPr>
            <w:tcW w:type="dxa" w:w="2880"/>
          </w:tcPr>
          <w:p>
            <w:r/>
          </w:p>
        </w:tc>
        <w:tc>
          <w:tcPr>
            <w:tcW w:type="dxa" w:w="2880"/>
          </w:tcPr>
          <w:p>
            <w:r>
              <w:t>Without Cost Seg</w:t>
            </w:r>
          </w:p>
        </w:tc>
        <w:tc>
          <w:tcPr>
            <w:tcW w:type="dxa" w:w="2880"/>
          </w:tcPr>
          <w:p>
            <w:r>
              <w:t>With Cost Seg + Bonus</w:t>
            </w:r>
          </w:p>
        </w:tc>
      </w:tr>
      <w:tr>
        <w:tc>
          <w:tcPr>
            <w:tcW w:type="dxa" w:w="2880"/>
          </w:tcPr>
          <w:p>
            <w:r>
              <w:t>Year 1 Depreciation</w:t>
            </w:r>
          </w:p>
        </w:tc>
        <w:tc>
          <w:tcPr>
            <w:tcW w:type="dxa" w:w="2880"/>
          </w:tcPr>
          <w:p>
            <w:r>
              <w:t>≈ $26,000</w:t>
            </w:r>
          </w:p>
        </w:tc>
        <w:tc>
          <w:tcPr>
            <w:tcW w:type="dxa" w:w="2880"/>
          </w:tcPr>
          <w:p>
            <w:r>
              <w:t>≈ $180,000–$200,000</w:t>
            </w:r>
          </w:p>
        </w:tc>
      </w:tr>
      <w:tr>
        <w:tc>
          <w:tcPr>
            <w:tcW w:type="dxa" w:w="2880"/>
          </w:tcPr>
          <w:p>
            <w:r>
              <w:t>Later‑Year Depreciation</w:t>
            </w:r>
          </w:p>
        </w:tc>
        <w:tc>
          <w:tcPr>
            <w:tcW w:type="dxa" w:w="2880"/>
          </w:tcPr>
          <w:p>
            <w:r>
              <w:t>Steady deductions each year</w:t>
            </w:r>
          </w:p>
        </w:tc>
        <w:tc>
          <w:tcPr>
            <w:tcW w:type="dxa" w:w="2880"/>
          </w:tcPr>
          <w:p>
            <w:r>
              <w:t>Much lower after Year 1</w:t>
            </w:r>
          </w:p>
        </w:tc>
      </w:tr>
      <w:tr>
        <w:tc>
          <w:tcPr>
            <w:tcW w:type="dxa" w:w="2880"/>
          </w:tcPr>
          <w:p>
            <w:r>
              <w:t>Total Depreciation Over Life</w:t>
            </w:r>
          </w:p>
        </w:tc>
        <w:tc>
          <w:tcPr>
            <w:tcW w:type="dxa" w:w="2880"/>
          </w:tcPr>
          <w:p>
            <w:r>
              <w:t>$720,000</w:t>
            </w:r>
          </w:p>
        </w:tc>
        <w:tc>
          <w:tcPr>
            <w:tcW w:type="dxa" w:w="2880"/>
          </w:tcPr>
          <w:p>
            <w:r>
              <w:t>$720,000</w:t>
            </w:r>
          </w:p>
        </w:tc>
      </w:tr>
    </w:tbl>
    <w:p>
      <w:r>
        <w:t>In both scenarios, the total depreciation over the life of the property is the same: $720,000. The only difference is timing. Cost segregation and bonus depreciation move a large portion of those deductions into Year 1, which can be extremely valuable in a high‑income year—but only if you can actually use the loss under the passive rules.</w:t>
      </w:r>
    </w:p>
    <w:p>
      <w:r>
        <w:rPr>
          <w:b/>
          <w:sz w:val="26"/>
        </w:rPr>
        <w:t>Key Action Steps for Investors &amp; Landlords</w:t>
      </w:r>
    </w:p>
    <w:p>
      <w:pPr>
        <w:pStyle w:val="ListBullet"/>
      </w:pPr>
      <w:r>
        <w:t>Evaluate every deal first on its fundamentals—rents, expenses, financing, and long‑term strategy—before layering on cost seg.</w:t>
      </w:r>
    </w:p>
    <w:p>
      <w:pPr>
        <w:pStyle w:val="ListBullet"/>
      </w:pPr>
      <w:r>
        <w:t>Clarify your tax profile: expected income, filing status, and whether you or your spouse might qualify as a real estate professional.</w:t>
      </w:r>
    </w:p>
    <w:p>
      <w:pPr>
        <w:pStyle w:val="ListBullet"/>
      </w:pPr>
      <w:r>
        <w:t>Map out whether a large cost seg loss would be usable now or mostly suspended under the passive loss rules.</w:t>
      </w:r>
    </w:p>
    <w:p>
      <w:pPr>
        <w:pStyle w:val="ListBullet"/>
      </w:pPr>
      <w:r>
        <w:t>Stress‑test your cash flow with and without tax savings so you are not relying on cost seg to rescue a weak property.</w:t>
      </w:r>
    </w:p>
    <w:p>
      <w:pPr>
        <w:pStyle w:val="ListBullet"/>
      </w:pPr>
      <w:r>
        <w:t>Sketch a rough exit plan: typical holding period, likely sale strategy, and how depreciation recapture might affect you.</w:t>
      </w:r>
    </w:p>
    <w:p>
      <w:pPr>
        <w:pStyle w:val="ListBullet"/>
      </w:pPr>
      <w:r>
        <w:t>Use cost segregation where the timing benefit aligns with clear goals such as deleveraging, funding improvements, or scaling your portfolio.</w:t>
      </w:r>
    </w:p>
    <w:p>
      <w:r>
        <w:rPr>
          <w:b/>
          <w:sz w:val="26"/>
        </w:rPr>
        <w:t>Key Action Steps for Tax Pros &amp; Advisors</w:t>
      </w:r>
    </w:p>
    <w:p>
      <w:pPr>
        <w:pStyle w:val="ListBullet"/>
      </w:pPr>
      <w:r>
        <w:t>Explain early that cost segregation changes timing, not total depreciation, to set realistic expectations for clients.</w:t>
      </w:r>
    </w:p>
    <w:p>
      <w:pPr>
        <w:pStyle w:val="ListBullet"/>
      </w:pPr>
      <w:r>
        <w:t>Model scenarios that show current‑year benefit versus suspended losses under the passive activity rules.</w:t>
      </w:r>
    </w:p>
    <w:p>
      <w:pPr>
        <w:pStyle w:val="ListBullet"/>
      </w:pPr>
      <w:r>
        <w:t>Coordinate cost seg discussions with evaluations of real estate professional status, grouping elections, and short‑term rental classification.</w:t>
      </w:r>
    </w:p>
    <w:p>
      <w:pPr>
        <w:pStyle w:val="ListBullet"/>
      </w:pPr>
      <w:r>
        <w:t>Highlight cash‑flow impact separately from paper losses so clients understand the real economic effect.</w:t>
      </w:r>
    </w:p>
    <w:p>
      <w:pPr>
        <w:pStyle w:val="ListBullet"/>
      </w:pPr>
      <w:r>
        <w:t>Incorporate exit planning—recapture, gain character, and potential like‑kind exchanges—into any recommendation.</w:t>
      </w:r>
    </w:p>
    <w:p>
      <w:pPr>
        <w:pStyle w:val="ListBullet"/>
      </w:pPr>
      <w:r>
        <w:t>Document assumptions, elections, and planning rationale to support audit‑readiness and future year reviews.</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