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b/>
          <w:sz w:val="40"/>
        </w:rPr>
        <w:t>CS – M2 L1 Handout</w:t>
      </w:r>
    </w:p>
    <w:p>
      <w:r>
        <w:rPr>
          <w:rFonts w:ascii="Calibri" w:hAnsi="Calibri"/>
          <w:b/>
          <w:sz w:val="28"/>
        </w:rPr>
        <w:t>Safe DIY Cost Seg — Where the Line Is</w:t>
      </w:r>
    </w:p>
    <w:p>
      <w:r>
        <w:rPr>
          <w:rFonts w:ascii="Calibri" w:hAnsi="Calibri"/>
          <w:b/>
          <w:sz w:val="26"/>
        </w:rPr>
        <w:t>Big Idea</w:t>
      </w:r>
    </w:p>
    <w:p>
      <w:r>
        <w:t>You can safely use a simple cost segregation template to plan, compare, and educate yourself about properties—but there is a hard line between rough DIY estimates and the kind of fully supported, engineering‑based study the IRS expects for large or complex projects. This lesson shows you where that line is so you can use DIY tools confidently without overreaching on your tax return.</w:t>
      </w:r>
    </w:p>
    <w:p>
      <w:r>
        <w:rPr>
          <w:rFonts w:ascii="Calibri" w:hAnsi="Calibri"/>
          <w:b/>
          <w:sz w:val="26"/>
        </w:rPr>
        <w:t>Key Concepts / Quick Snapshot</w:t>
      </w:r>
    </w:p>
    <w:p>
      <w:pPr>
        <w:pStyle w:val="ListBullet"/>
      </w:pPr>
      <w:r>
        <w:t>Treat DIY cost segregation tools as planning calculators, not as final, filed‑return numbers—especially on larger or more complex properties.</w:t>
      </w:r>
    </w:p>
    <w:p>
      <w:pPr>
        <w:pStyle w:val="ListBullet"/>
      </w:pPr>
      <w:r>
        <w:t>DIY works best for estimating how much of a property may fall into 5‑, 7‑, and 15‑year property versus long‑life 27.5‑ or 39‑year building.</w:t>
      </w:r>
    </w:p>
    <w:p>
      <w:pPr>
        <w:pStyle w:val="ListBullet"/>
      </w:pPr>
      <w:r>
        <w:t>Use templates to compare potential deals, rough‑in the benefit of a professional study, and time when deductions land across tax years.</w:t>
      </w:r>
    </w:p>
    <w:p>
      <w:pPr>
        <w:pStyle w:val="ListBullet"/>
      </w:pPr>
      <w:r>
        <w:t>High‑value, specialized, or poorly documented projects usually need an engineering‑based study that ties numbers back to plans, invoices, and accepted methods.</w:t>
      </w:r>
    </w:p>
    <w:p>
      <w:pPr>
        <w:pStyle w:val="ListBullet"/>
      </w:pPr>
      <w:r>
        <w:t>From the IRS’s perspective, strong positions have three things: a reasonable method, supportable costs, and documentation that an examiner (or IRS engineer) can follow later.</w:t>
      </w:r>
    </w:p>
    <w:p>
      <w:pPr>
        <w:pStyle w:val="ListBullet"/>
      </w:pPr>
      <w:r>
        <w:t>For professionals and sales reps, the safest framing is: “This template is a planning aid. Big dollars and complex buildings still rely on engineering‑based studies for the actual tax position.”</w:t>
      </w:r>
    </w:p>
    <w:p>
      <w:r>
        <w:rPr>
          <w:rFonts w:ascii="Calibri" w:hAnsi="Calibri"/>
          <w:b/>
          <w:sz w:val="26"/>
        </w:rPr>
        <w:t>Where Cost Seg Fits in Your Strategy</w:t>
      </w:r>
    </w:p>
    <w:p>
      <w:r>
        <w:t>Cost segregation is one of the main tools for pulling future depreciation into the early years of owning or improving a property. When you break a building into shorter‑life components, you can often accelerate a sizable portion of the cost into 5‑, 7‑, and 15‑year buckets, and in some cases qualify for bonus depreciation. Used correctly, this can:</w:t>
      </w:r>
    </w:p>
    <w:p>
      <w:pPr>
        <w:pStyle w:val="ListBullet"/>
      </w:pPr>
      <w:r>
        <w:t>Boost early‑year cash flow and help offset rental or business income.</w:t>
      </w:r>
    </w:p>
    <w:p>
      <w:pPr>
        <w:pStyle w:val="ListBullet"/>
      </w:pPr>
      <w:r>
        <w:t>Make a borderline deal pencil out by improving after‑tax returns.</w:t>
      </w:r>
    </w:p>
    <w:p>
      <w:pPr>
        <w:pStyle w:val="ListBullet"/>
      </w:pPr>
      <w:r>
        <w:t>Inform whether it is worth hiring an engineering firm for a full study on a specific property.</w:t>
      </w:r>
    </w:p>
    <w:p>
      <w:pPr>
        <w:pStyle w:val="ListBullet"/>
      </w:pPr>
      <w:r>
        <w:t>Support repair/regulation planning by identifying major systems and components for future write‑offs.</w:t>
      </w:r>
    </w:p>
    <w:p>
      <w:r>
        <w:rPr>
          <w:rFonts w:ascii="Calibri" w:hAnsi="Calibri"/>
          <w:b/>
          <w:sz w:val="26"/>
        </w:rPr>
        <w:t>Illustrative Example – When DIY Is Not Enough</w:t>
      </w:r>
    </w:p>
    <w:p>
      <w:r>
        <w:t>Assume you bought a $3,000,000 multifamily building (excluding land). You use a planning template and estimate that roughly 25% of the cost might qualify as short‑life property under a full study. You want to know whether to stop at a template or hire an engineering‑based provider.</w:t>
      </w:r>
    </w:p>
    <w:tbl>
      <w:tblPr>
        <w:tblStyle w:val="TableGrid"/>
        <w:tblW w:type="auto" w:w="0"/>
        <w:tblLook w:firstColumn="1" w:firstRow="1" w:lastColumn="0" w:lastRow="0" w:noHBand="0" w:noVBand="1" w:val="04A0"/>
      </w:tblPr>
      <w:tblGrid>
        <w:gridCol w:w="4320"/>
        <w:gridCol w:w="4320"/>
      </w:tblGrid>
      <w:tr>
        <w:tc>
          <w:tcPr>
            <w:tcW w:type="dxa" w:w="4320"/>
          </w:tcPr>
          <w:p>
            <w:r>
              <w:t>DIY Template Only (Planning Estimate)</w:t>
            </w:r>
          </w:p>
        </w:tc>
        <w:tc>
          <w:tcPr>
            <w:tcW w:type="dxa" w:w="4320"/>
          </w:tcPr>
          <w:p>
            <w:r>
              <w:t>DIY + Professional Cost Seg Study</w:t>
            </w:r>
          </w:p>
        </w:tc>
      </w:tr>
      <w:tr>
        <w:tc>
          <w:tcPr>
            <w:tcW w:type="dxa" w:w="4320"/>
          </w:tcPr>
          <w:p>
            <w:r>
              <w:t>Template suggests ~$750,000 of potential short‑life property but is based on high‑level percentages and assumptions.</w:t>
            </w:r>
          </w:p>
        </w:tc>
        <w:tc>
          <w:tcPr>
            <w:tcW w:type="dxa" w:w="4320"/>
          </w:tcPr>
          <w:p>
            <w:r>
              <w:t>Engineering team walks the property, reviews plans and invoices, and documents actual components that support the ~$750,000 (or more) with detailed schedules.</w:t>
            </w:r>
          </w:p>
        </w:tc>
      </w:tr>
      <w:tr>
        <w:tc>
          <w:tcPr>
            <w:tcW w:type="dxa" w:w="4320"/>
          </w:tcPr>
          <w:p>
            <w:r>
              <w:t>Good enough to decide, “This looks promising,” and to model cash flow, but risky to use as the sole support on a filed return for a seven‑figure project.</w:t>
            </w:r>
          </w:p>
        </w:tc>
        <w:tc>
          <w:tcPr>
            <w:tcW w:type="dxa" w:w="4320"/>
          </w:tcPr>
          <w:p>
            <w:r>
              <w:t>Used as the foundation for the tax return. If examined, the study and workpapers show method, supportable costs, and calculations that an IRS engineer can follow.</w:t>
            </w:r>
          </w:p>
        </w:tc>
      </w:tr>
    </w:tbl>
    <w:p>
      <w:r>
        <w:t>The takeaway: use the template to decide whether a study is likely worth it. Once the dollars are large, the IRS will expect the kind of methodology and documentation that only a full study provides.</w:t>
      </w:r>
    </w:p>
    <w:p>
      <w:r>
        <w:rPr>
          <w:rFonts w:ascii="Calibri" w:hAnsi="Calibri"/>
          <w:b/>
          <w:sz w:val="26"/>
        </w:rPr>
        <w:t>Key Action Steps for Investors &amp; Landlords</w:t>
      </w:r>
    </w:p>
    <w:p>
      <w:pPr>
        <w:pStyle w:val="ListBullet"/>
      </w:pPr>
      <w:r>
        <w:t>Pick one property (recently purchased or under contract) and run it through the planning template to estimate potential short‑life property and first‑year deductions.</w:t>
      </w:r>
    </w:p>
    <w:p>
      <w:pPr>
        <w:pStyle w:val="ListBullet"/>
      </w:pPr>
      <w:r>
        <w:t>Categorize each property into three buckets: (1) small and simple – template only, (2) medium and important – template plus conversation with your tax pro, (3) large or complex – template plus engineering‑based study when justified.</w:t>
      </w:r>
    </w:p>
    <w:p>
      <w:pPr>
        <w:pStyle w:val="ListBullet"/>
      </w:pPr>
      <w:r>
        <w:t>Use DIY estimates to compare deals before closing: which property gives you more early‑year depreciation under current rules?</w:t>
      </w:r>
    </w:p>
    <w:p>
      <w:pPr>
        <w:pStyle w:val="ListBullet"/>
      </w:pPr>
      <w:r>
        <w:t>Use the timing features of the template to decide which year you want major deductions to land when you have some flexibility on when the property is placed in service.</w:t>
      </w:r>
    </w:p>
    <w:p>
      <w:pPr>
        <w:pStyle w:val="ListBullet"/>
      </w:pPr>
      <w:r>
        <w:t>Keep a short written summary (in your files) of how you used the template and what assumptions you made, so you can revisit the decision later with your advisor.</w:t>
      </w:r>
    </w:p>
    <w:p>
      <w:r>
        <w:rPr>
          <w:rFonts w:ascii="Calibri" w:hAnsi="Calibri"/>
          <w:b/>
          <w:sz w:val="26"/>
        </w:rPr>
        <w:t>Key Action Steps for Tax Pros &amp; Advisors</w:t>
      </w:r>
    </w:p>
    <w:p>
      <w:pPr>
        <w:pStyle w:val="ListBullet"/>
      </w:pPr>
      <w:r>
        <w:t>Adopt clear language with clients: describe the template as a planning tool, not a substitute for an engineering‑based study on high‑value or complex properties.</w:t>
      </w:r>
    </w:p>
    <w:p>
      <w:pPr>
        <w:pStyle w:val="ListBullet"/>
      </w:pPr>
      <w:r>
        <w:t>Create a simple intake checklist that flags red‑flag projects (high purchase price, specialized use, major build‑outs, or poor cost detail) for potential referral to a cost seg specialist.</w:t>
      </w:r>
    </w:p>
    <w:p>
      <w:pPr>
        <w:pStyle w:val="ListBullet"/>
      </w:pPr>
      <w:r>
        <w:t>Use template outputs to qualify projects: if estimated benefits are small relative to fees, document why a full study likely is not warranted; if benefits are large, document why a study makes sense.</w:t>
      </w:r>
    </w:p>
    <w:p>
      <w:pPr>
        <w:pStyle w:val="ListBullet"/>
      </w:pPr>
      <w:r>
        <w:t>Coordinate with engineering providers so your documentation (workpapers, memos, and tax returns) clearly tie to their schedules and methods.</w:t>
      </w:r>
    </w:p>
    <w:p>
      <w:pPr>
        <w:pStyle w:val="ListBullet"/>
      </w:pPr>
      <w:r>
        <w:t>Educate your team and clients about how the IRS evaluates method and documentation, using examples from the Cost Segregation Audit Techniques Guide and accepted engineering approaches.</w:t>
      </w:r>
    </w:p>
    <w:p>
      <w:r>
        <w:rPr>
          <w:sz w:val="18"/>
        </w:rPr>
        <w:t>Disclaimer: This handout is for educational purposes only and does not constitute tax, legal, or financial advice. Tax rules may change, and the impact of any strategy depends on your specific facts. Consult your own qualified advisor before acting on any concept discussed in this course.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