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Calibri" w:hAnsi="Calibri"/>
          <w:b/>
          <w:sz w:val="40"/>
        </w:rPr>
        <w:t>CS – M2 L2 Handout</w:t>
      </w:r>
    </w:p>
    <w:p>
      <w:r>
        <w:rPr>
          <w:rFonts w:ascii="Calibri" w:hAnsi="Calibri"/>
          <w:b/>
          <w:sz w:val="28"/>
        </w:rPr>
        <w:t>Template Basics — “Start Here” Inputs</w:t>
      </w:r>
    </w:p>
    <w:p>
      <w:r>
        <w:rPr>
          <w:rFonts w:ascii="Calibri" w:hAnsi="Calibri"/>
          <w:b/>
          <w:sz w:val="26"/>
        </w:rPr>
        <w:br/>
        <w:t>Big Idea</w:t>
      </w:r>
    </w:p>
    <w:p>
      <w:r>
        <w:rPr>
          <w:rFonts w:ascii="Calibri" w:hAnsi="Calibri"/>
          <w:b w:val="0"/>
          <w:sz w:val="22"/>
        </w:rPr>
        <w:t>The “Start Here” tab turns messy closing documents and tax bills into a quick, planning-quality estimate of your cost segregation and bonus depreciation. By entering a short list of key numbers—purchase price, placed-in-service date, land value, property type, and improvements—you can see whether a full cost seg study might generate meaningful first-year tax savings for a specific property.</w:t>
      </w:r>
    </w:p>
    <w:p>
      <w:r>
        <w:rPr>
          <w:rFonts w:ascii="Calibri" w:hAnsi="Calibri"/>
          <w:b/>
          <w:sz w:val="26"/>
        </w:rPr>
        <w:br/>
        <w:t>Key Concepts / Quick Snapshot</w:t>
      </w:r>
    </w:p>
    <w:p>
      <w:r>
        <w:rPr>
          <w:rFonts w:ascii="Calibri" w:hAnsi="Calibri"/>
          <w:sz w:val="22"/>
        </w:rPr>
        <w:t>• The “Start Here” tab is a structured interview: it only asks for a handful of inputs that drive the math.</w:t>
      </w:r>
    </w:p>
    <w:p>
      <w:r>
        <w:rPr>
          <w:rFonts w:ascii="Calibri" w:hAnsi="Calibri"/>
          <w:sz w:val="22"/>
        </w:rPr>
        <w:t>• Core inputs: purchase price, placed-in-service date, land value, property type (residential vs commercial), and post-purchase improvements.</w:t>
      </w:r>
    </w:p>
    <w:p>
      <w:r>
        <w:rPr>
          <w:rFonts w:ascii="Calibri" w:hAnsi="Calibri"/>
          <w:sz w:val="22"/>
        </w:rPr>
        <w:t>• Purchase price comes from the closing disclosure; land value usually comes from the property tax bill, appraisal, or a reasonable allocation.</w:t>
      </w:r>
    </w:p>
    <w:p>
      <w:r>
        <w:rPr>
          <w:rFonts w:ascii="Calibri" w:hAnsi="Calibri"/>
          <w:sz w:val="22"/>
        </w:rPr>
        <w:t>• Property type choice controls building life (27.5 vs 39 years) and the default mix of 5-, 7-, 15-year and long-life components.</w:t>
      </w:r>
    </w:p>
    <w:p>
      <w:r>
        <w:rPr>
          <w:rFonts w:ascii="Calibri" w:hAnsi="Calibri"/>
          <w:sz w:val="22"/>
        </w:rPr>
        <w:t>• Improvements after purchase can have their own cost seg opportunity and should be included in the basis you are analyzing.</w:t>
      </w:r>
    </w:p>
    <w:p>
      <w:r>
        <w:rPr>
          <w:rFonts w:ascii="Calibri" w:hAnsi="Calibri"/>
          <w:sz w:val="22"/>
        </w:rPr>
        <w:t>• The template uses realistic default percentages to break depreciable basis into short-life and long-life buckets for planning purposes.</w:t>
      </w:r>
    </w:p>
    <w:p>
      <w:r>
        <w:rPr>
          <w:rFonts w:ascii="Calibri" w:hAnsi="Calibri"/>
          <w:sz w:val="22"/>
        </w:rPr>
        <w:t>• Outputs show estimated first-year depreciation with and without cost seg, so you can gauge potential tax savings on a specific property.</w:t>
      </w:r>
    </w:p>
    <w:p>
      <w:r>
        <w:rPr>
          <w:rFonts w:ascii="Calibri" w:hAnsi="Calibri"/>
          <w:b/>
          <w:sz w:val="26"/>
        </w:rPr>
        <w:br/>
        <w:t>Where Cost Seg Fits</w:t>
      </w:r>
    </w:p>
    <w:p>
      <w:r>
        <w:rPr>
          <w:rFonts w:ascii="Calibri" w:hAnsi="Calibri"/>
          <w:b w:val="0"/>
          <w:sz w:val="22"/>
        </w:rPr>
        <w:t>Cost segregation is about changing the timing of depreciation, not the total amount. The “Start Here” inputs connect your real-world paperwork to that timing decision. When you plug in a property’s basic facts, you can quickly see whether accelerated depreciation and bonus might justify a professional study or specific planning moves.</w:t>
      </w:r>
    </w:p>
    <w:p>
      <w:r>
        <w:rPr>
          <w:rFonts w:ascii="Calibri" w:hAnsi="Calibri"/>
          <w:sz w:val="22"/>
        </w:rPr>
        <w:t>• Helps investors and landlords understand the potential size and timing of deductions for a specific property.</w:t>
      </w:r>
    </w:p>
    <w:p>
      <w:r>
        <w:rPr>
          <w:rFonts w:ascii="Calibri" w:hAnsi="Calibri"/>
          <w:sz w:val="22"/>
        </w:rPr>
        <w:t>• Gives tax pros a quick, standardized way to compare properties and prioritize where cost seg delivers the biggest impact.</w:t>
      </w:r>
    </w:p>
    <w:p>
      <w:r>
        <w:rPr>
          <w:rFonts w:ascii="Calibri" w:hAnsi="Calibri"/>
          <w:sz w:val="22"/>
        </w:rPr>
        <w:t>• Supports decisions about when to invest in improvements and when to commission a full engineering-based study.</w:t>
      </w:r>
    </w:p>
    <w:p>
      <w:r>
        <w:rPr>
          <w:rFonts w:ascii="Calibri" w:hAnsi="Calibri"/>
          <w:sz w:val="22"/>
        </w:rPr>
        <w:t>• Provides a bridge between theory (“cost seg is powerful”) and numbers (“this property could save ~X in year one”).</w:t>
      </w:r>
    </w:p>
    <w:p>
      <w:r>
        <w:rPr>
          <w:rFonts w:ascii="Calibri" w:hAnsi="Calibri"/>
          <w:b/>
          <w:sz w:val="26"/>
        </w:rPr>
        <w:br/>
        <w:t>Illustrative Example</w:t>
      </w:r>
    </w:p>
    <w:p>
      <w:r>
        <w:rPr>
          <w:rFonts w:ascii="Calibri" w:hAnsi="Calibri"/>
          <w:b w:val="0"/>
          <w:sz w:val="22"/>
        </w:rPr>
        <w:t xml:space="preserve">Example: You buy a small residential rental on June 15, 2026 for $600,000. The property tax bill shows $120,000 of land and $480,000 of improvements. You later spend $80,000 on capital improvements (interior upgrades and exterior site work). </w:t>
      </w:r>
    </w:p>
    <w:p>
      <w:r>
        <w:rPr>
          <w:rFonts w:ascii="Calibri" w:hAnsi="Calibri"/>
          <w:b w:val="0"/>
          <w:sz w:val="22"/>
        </w:rPr>
        <w:t>In the “Start Here” tab, you enter: purchase price $600,000, placed-in-service 06/2026, land $120,000, property type “Residential rental (27.5-year)”, and improvements $80,000. The template computes a depreciable basis of $560,000 and uses default percentages to estimate how much sits in short-life buckets.</w:t>
      </w:r>
    </w:p>
    <w:p>
      <w:r>
        <w:rPr>
          <w:rFonts w:ascii="Calibri" w:hAnsi="Calibri"/>
          <w:b w:val="0"/>
          <w:sz w:val="22"/>
        </w:rPr>
        <w:t xml:space="preserve">Sample default allocation (for planning only): 15% to 5-year, 5% to 7-year, 10% to 15-year land improvements, and 70% to 27.5-year building. That yields $84,000 (5-year), $28,000 (7-year), $56,000 (15-year), and $392,000 (27.5-year building). </w:t>
      </w:r>
    </w:p>
    <w:p>
      <w:r>
        <w:rPr>
          <w:rFonts w:ascii="Calibri" w:hAnsi="Calibri"/>
          <w:b w:val="0"/>
          <w:sz w:val="22"/>
        </w:rPr>
        <w:t>Under current rules, the short-life property may be eligible for 100% bonus depreciation, dramatically increasing the first-year deduction compared to simple straight-line depreciation on the whole building.</w:t>
      </w:r>
    </w:p>
    <w:tbl>
      <w:tblPr>
        <w:tblStyle w:val="TableGrid"/>
        <w:tblW w:type="auto" w:w="0"/>
        <w:tblLook w:firstColumn="1" w:firstRow="1" w:lastColumn="0" w:lastRow="0" w:noHBand="0" w:noVBand="1" w:val="04A0"/>
      </w:tblPr>
      <w:tblGrid>
        <w:gridCol w:w="4320"/>
        <w:gridCol w:w="4320"/>
      </w:tblGrid>
      <w:tr>
        <w:tc>
          <w:tcPr>
            <w:tcW w:type="dxa" w:w="4320"/>
          </w:tcPr>
          <w:p>
            <w:r>
              <w:rPr>
                <w:rFonts w:ascii="Calibri" w:hAnsi="Calibri"/>
                <w:b/>
                <w:sz w:val="22"/>
              </w:rPr>
              <w:t>Without Cost Seg</w:t>
            </w:r>
          </w:p>
        </w:tc>
        <w:tc>
          <w:tcPr>
            <w:tcW w:type="dxa" w:w="4320"/>
          </w:tcPr>
          <w:p>
            <w:r>
              <w:rPr>
                <w:rFonts w:ascii="Calibri" w:hAnsi="Calibri"/>
                <w:b/>
                <w:sz w:val="22"/>
              </w:rPr>
              <w:t>With Cost Seg + Bonus</w:t>
            </w:r>
          </w:p>
        </w:tc>
      </w:tr>
      <w:tr>
        <w:tc>
          <w:tcPr>
            <w:tcW w:type="dxa" w:w="4320"/>
          </w:tcPr>
          <w:p>
            <w:r>
              <w:rPr>
                <w:rFonts w:ascii="Calibri" w:hAnsi="Calibri"/>
                <w:sz w:val="22"/>
              </w:rPr>
              <w:t>All $560,000 treated as 27.5-year property</w:t>
            </w:r>
          </w:p>
        </w:tc>
        <w:tc>
          <w:tcPr>
            <w:tcW w:type="dxa" w:w="4320"/>
          </w:tcPr>
          <w:p>
            <w:r>
              <w:rPr>
                <w:rFonts w:ascii="Calibri" w:hAnsi="Calibri"/>
                <w:sz w:val="22"/>
              </w:rPr>
              <w:t>$392,000 27.5-year + $168,000 short-life (5, 7, 15-year)</w:t>
            </w:r>
          </w:p>
        </w:tc>
      </w:tr>
      <w:tr>
        <w:tc>
          <w:tcPr>
            <w:tcW w:type="dxa" w:w="4320"/>
          </w:tcPr>
          <w:p>
            <w:r>
              <w:rPr>
                <w:rFonts w:ascii="Calibri" w:hAnsi="Calibri"/>
                <w:sz w:val="22"/>
              </w:rPr>
              <w:t>Year-1 depreciation ≈ $20,364</w:t>
            </w:r>
          </w:p>
        </w:tc>
        <w:tc>
          <w:tcPr>
            <w:tcW w:type="dxa" w:w="4320"/>
          </w:tcPr>
          <w:p>
            <w:r>
              <w:rPr>
                <w:rFonts w:ascii="Calibri" w:hAnsi="Calibri"/>
                <w:sz w:val="22"/>
              </w:rPr>
              <w:t>Year-1 depreciation ≈ $182,000 (14,255 regular + 168,000 bonus)</w:t>
            </w:r>
          </w:p>
        </w:tc>
      </w:tr>
    </w:tbl>
    <w:p>
      <w:r>
        <w:rPr>
          <w:rFonts w:ascii="Calibri" w:hAnsi="Calibri"/>
          <w:b/>
          <w:sz w:val="26"/>
        </w:rPr>
        <w:br/>
        <w:t>Key Action Steps for Investors &amp; Landlords</w:t>
      </w:r>
    </w:p>
    <w:p>
      <w:r>
        <w:rPr>
          <w:rFonts w:ascii="Calibri" w:hAnsi="Calibri"/>
          <w:sz w:val="22"/>
        </w:rPr>
        <w:t>• Pick one existing or upcoming property and gather the closing disclosure, property tax bill, appraisal (if available), and major improvement invoices.</w:t>
      </w:r>
    </w:p>
    <w:p>
      <w:r>
        <w:rPr>
          <w:rFonts w:ascii="Calibri" w:hAnsi="Calibri"/>
          <w:sz w:val="22"/>
        </w:rPr>
        <w:t>• Enter the core inputs on the “Start Here” tab: purchase price, placed-in-service date, land value, property type, and improvements.</w:t>
      </w:r>
    </w:p>
    <w:p>
      <w:r>
        <w:rPr>
          <w:rFonts w:ascii="Calibri" w:hAnsi="Calibri"/>
          <w:sz w:val="22"/>
        </w:rPr>
        <w:t>• Review the estimated first-year depreciation with and without cost seg to understand the order of magnitude of potential tax savings.</w:t>
      </w:r>
    </w:p>
    <w:p>
      <w:r>
        <w:rPr>
          <w:rFonts w:ascii="Calibri" w:hAnsi="Calibri"/>
          <w:sz w:val="22"/>
        </w:rPr>
        <w:t>• Note which properties show the largest potential benefit and prioritize those for deeper analysis or a professional study.</w:t>
      </w:r>
    </w:p>
    <w:p>
      <w:r>
        <w:rPr>
          <w:rFonts w:ascii="Calibri" w:hAnsi="Calibri"/>
          <w:sz w:val="22"/>
        </w:rPr>
        <w:t>• Use the timing insights to plan when to place properties in service and when to schedule major improvements.</w:t>
      </w:r>
    </w:p>
    <w:p>
      <w:r>
        <w:rPr>
          <w:rFonts w:ascii="Calibri" w:hAnsi="Calibri"/>
          <w:sz w:val="22"/>
        </w:rPr>
        <w:t>• Keep your notes and assumptions so you can revisit and refine the inputs as better data becomes available.</w:t>
      </w:r>
    </w:p>
    <w:p>
      <w:r>
        <w:rPr>
          <w:rFonts w:ascii="Calibri" w:hAnsi="Calibri"/>
          <w:b/>
          <w:sz w:val="26"/>
        </w:rPr>
        <w:br/>
        <w:t>Key Action Steps for Tax Pros &amp; Advisors</w:t>
      </w:r>
    </w:p>
    <w:p>
      <w:r>
        <w:rPr>
          <w:rFonts w:ascii="Calibri" w:hAnsi="Calibri"/>
          <w:sz w:val="22"/>
        </w:rPr>
        <w:t>• Incorporate the “Start Here” inputs into your client intake for new acquisitions and major renovations.</w:t>
      </w:r>
    </w:p>
    <w:p>
      <w:r>
        <w:rPr>
          <w:rFonts w:ascii="Calibri" w:hAnsi="Calibri"/>
          <w:sz w:val="22"/>
        </w:rPr>
        <w:t>• Sanity-check land allocations using tax bills, appraisals, and local market data to avoid extreme or unsupported percentages.</w:t>
      </w:r>
    </w:p>
    <w:p>
      <w:r>
        <w:rPr>
          <w:rFonts w:ascii="Calibri" w:hAnsi="Calibri"/>
          <w:sz w:val="22"/>
        </w:rPr>
        <w:t>• Use the template to run quick side-by-side scenarios (with vs without cost seg) for high-income years and pending projects.</w:t>
      </w:r>
    </w:p>
    <w:p>
      <w:r>
        <w:rPr>
          <w:rFonts w:ascii="Calibri" w:hAnsi="Calibri"/>
          <w:sz w:val="22"/>
        </w:rPr>
        <w:t>• Identify clients and properties where a professional cost seg study is likely to deliver the biggest after-tax benefit.</w:t>
      </w:r>
    </w:p>
    <w:p>
      <w:r>
        <w:rPr>
          <w:rFonts w:ascii="Calibri" w:hAnsi="Calibri"/>
          <w:sz w:val="22"/>
        </w:rPr>
        <w:t>• Document your assumptions and default percentages so you can explain the planning estimate and distinguish it from a full engineering study.</w:t>
      </w:r>
    </w:p>
    <w:p>
      <w:r>
        <w:rPr>
          <w:rFonts w:ascii="Calibri" w:hAnsi="Calibri"/>
          <w:sz w:val="22"/>
        </w:rPr>
        <w:t>• Coordinate with clients’ broader planning (entity choice, 1031 exchanges, grouping elections) so accelerated depreciation fits into the overall strategy.</w:t>
      </w:r>
    </w:p>
    <w:p>
      <w:r>
        <w:rPr>
          <w:rFonts w:ascii="Calibri" w:hAnsi="Calibri"/>
          <w:sz w:val="18"/>
        </w:rPr>
        <w:br/>
        <w:t>Disclaimer: This handout is for educational purposes only and does not constitute tax, legal, or financial advice. Tax rules may change, and the impact of any strategy depends on your specific facts. Consult your own qualified advisor before acting on any concept discussed in this course.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