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CS – M3 L4 Handout</w:t>
      </w:r>
    </w:p>
    <w:p>
      <w:pPr>
        <w:pStyle w:val="Heading1"/>
      </w:pPr>
      <w:r>
        <w:t>What Happens at Sale — Depreciation Recapture Basics</w:t>
      </w:r>
    </w:p>
    <w:p>
      <w:pPr>
        <w:pStyle w:val="Heading2"/>
      </w:pPr>
      <w:r>
        <w:t>Big Idea</w:t>
      </w:r>
    </w:p>
    <w:p>
      <w:r>
        <w:t>Depreciation recapture is the IRS’s way of reconciling all the depreciation you’ve claimed when you sell a property. Cost segregation doesn’t create recapture out of nowhere—it shifts more depreciation into short-life buckets, which changes how much of your gain is taxed at higher recapture rates versus lower long-term capital gain rates. Smart investors and tax pros use cost seg as a timing and planning tool, not as “free money,” and build exit strategies that manage recapture instead of being surprised by it.</w:t>
      </w:r>
    </w:p>
    <w:p>
      <w:pPr>
        <w:pStyle w:val="Heading2"/>
      </w:pPr>
      <w:r>
        <w:t>Key Concepts / Quick Snapshot</w:t>
      </w:r>
    </w:p>
    <w:p>
      <w:pPr>
        <w:pStyle w:val="ListBullet"/>
      </w:pPr>
      <w:r>
        <w:rPr>
          <w:rFonts w:ascii="Calibri" w:hAnsi="Calibri"/>
          <w:sz w:val="22"/>
        </w:rPr>
        <w:t>Depreciation reduces taxable income while you own the property, creating real cash flow savings.</w:t>
      </w:r>
    </w:p>
    <w:p>
      <w:pPr>
        <w:pStyle w:val="ListBullet"/>
      </w:pPr>
      <w:r>
        <w:rPr>
          <w:rFonts w:ascii="Calibri" w:hAnsi="Calibri"/>
          <w:sz w:val="22"/>
        </w:rPr>
        <w:t>When you sell for more than your depreciated basis, the IRS may reclassify part of the gain as depreciation recapture.</w:t>
      </w:r>
    </w:p>
    <w:p>
      <w:pPr>
        <w:pStyle w:val="ListBullet"/>
      </w:pPr>
      <w:r>
        <w:rPr>
          <w:rFonts w:ascii="Calibri" w:hAnsi="Calibri"/>
          <w:sz w:val="22"/>
        </w:rPr>
        <w:t>Short-life property (5/7/15‑year personal property and land improvements) is often recaptured at ordinary income rates.</w:t>
      </w:r>
    </w:p>
    <w:p>
      <w:pPr>
        <w:pStyle w:val="ListBullet"/>
      </w:pPr>
      <w:r>
        <w:rPr>
          <w:rFonts w:ascii="Calibri" w:hAnsi="Calibri"/>
          <w:sz w:val="22"/>
        </w:rPr>
        <w:t>Building shell depreciation (27.5/39‑year) generally becomes “unrecaptured Section 1250 gain,” taxed at a special rate, often capped at 25%.</w:t>
      </w:r>
    </w:p>
    <w:p>
      <w:pPr>
        <w:pStyle w:val="ListBullet"/>
      </w:pPr>
      <w:r>
        <w:rPr>
          <w:rFonts w:ascii="Calibri" w:hAnsi="Calibri"/>
          <w:sz w:val="22"/>
        </w:rPr>
        <w:t>Any gain above total depreciation can still qualify as long‑term capital gain at lower rates.</w:t>
      </w:r>
    </w:p>
    <w:p>
      <w:pPr>
        <w:pStyle w:val="ListBullet"/>
      </w:pPr>
      <w:r>
        <w:rPr>
          <w:rFonts w:ascii="Calibri" w:hAnsi="Calibri"/>
          <w:sz w:val="22"/>
        </w:rPr>
        <w:t>Cost seg changes the mix and timing of depreciation, increasing early‑year savings but also increasing potential short‑life recapture at sale.</w:t>
      </w:r>
    </w:p>
    <w:p>
      <w:pPr>
        <w:pStyle w:val="ListBullet"/>
      </w:pPr>
      <w:r>
        <w:rPr>
          <w:rFonts w:ascii="Calibri" w:hAnsi="Calibri"/>
          <w:sz w:val="22"/>
        </w:rPr>
        <w:t>The value of cost seg hinges on time value of money, rate differences now vs. later, and exit planning (hold, 1031, loss planning, timing).</w:t>
      </w:r>
    </w:p>
    <w:p>
      <w:pPr>
        <w:pStyle w:val="Heading2"/>
      </w:pPr>
      <w:r>
        <w:t>Where Cost Seg Fits in Your Strategy</w:t>
      </w:r>
    </w:p>
    <w:p>
      <w:r>
        <w:t>Cost segregation accelerates depreciation into earlier years, which can dramatically reduce taxes when cash is tight and growth is a priority. The trade‑off is that more of your total depreciation lands in short‑life categories that may face ordinary‑rate recapture later. When you treat cost seg as part of a full life‑cycle plan—acquisition, holding, and exit—you can use the early tax savings to grow while still planning for recapture on your terms.</w:t>
      </w:r>
    </w:p>
    <w:p>
      <w:pPr>
        <w:pStyle w:val="ListBullet"/>
      </w:pPr>
      <w:r>
        <w:t>Use cost seg to generate early‑year tax savings that can fund down payments, renovations, or reserves.</w:t>
      </w:r>
    </w:p>
    <w:p>
      <w:pPr>
        <w:pStyle w:val="ListBullet"/>
      </w:pPr>
      <w:r>
        <w:t>Match cost seg to properties you expect to hold for several years or roll into future deals, not quick flips.</w:t>
      </w:r>
    </w:p>
    <w:p>
      <w:pPr>
        <w:pStyle w:val="ListBullet"/>
      </w:pPr>
      <w:r>
        <w:t>Coordinate cost seg with long‑term plans to refinance, de‑leverage, or build a larger portfolio.</w:t>
      </w:r>
    </w:p>
    <w:p>
      <w:pPr>
        <w:pStyle w:val="ListBullet"/>
      </w:pPr>
      <w:r>
        <w:t>Layer cost seg strategies with 1031 exchanges, loss harvesting, or low‑income years to manage recapture at exit.</w:t>
      </w:r>
    </w:p>
    <w:p>
      <w:pPr>
        <w:pStyle w:val="ListBullet"/>
      </w:pPr>
      <w:r>
        <w:t>For tax pros, present cost seg as a two‑phase story: big deductions now, planned reconciliation later—not a hidden “gotcha.”</w:t>
      </w:r>
    </w:p>
    <w:p>
      <w:pPr>
        <w:pStyle w:val="Heading2"/>
      </w:pPr>
      <w:r>
        <w:t>Illustrative Example: Same Property, Different Timing</w:t>
      </w:r>
    </w:p>
    <w:p>
      <w:r>
        <w:t>Assume you buy a $1,000,000 residential rental property. Under straight‑line 27.5‑year depreciation with no cost seg, you claim about $36,000 per year in depreciation. Over the first 5 years, that’s roughly $180,000 of deductions.</w:t>
        <w:br/>
        <w:br/>
        <w:t>Now assume you complete a cost segregation study and reclassify $250,000 into 5/7/15‑year property, with the remaining $750,000 left as 27.5‑year building. Over the first 5 years, your depreciation might total roughly $385,000 ($250,000 from short‑life property plus about $135,000 from the building). You’ve accelerated over $200,000 of deductions into the early years, creating significant cash flow savings. At sale, more of your total depreciation may be subject to short‑life recapture rules, but you’ve had years of using the tax savings to grow your portfolio.</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t>Without Cost Seg</w:t>
            </w:r>
          </w:p>
        </w:tc>
        <w:tc>
          <w:tcPr>
            <w:tcW w:type="dxa" w:w="2880"/>
          </w:tcPr>
          <w:p>
            <w:r>
              <w:t>With Cost Seg</w:t>
            </w:r>
          </w:p>
        </w:tc>
      </w:tr>
      <w:tr>
        <w:tc>
          <w:tcPr>
            <w:tcW w:type="dxa" w:w="2880"/>
          </w:tcPr>
          <w:p>
            <w:r>
              <w:t>First 5 years total depreciation</w:t>
            </w:r>
          </w:p>
        </w:tc>
        <w:tc>
          <w:tcPr>
            <w:tcW w:type="dxa" w:w="2880"/>
          </w:tcPr>
          <w:p>
            <w:r>
              <w:t>≈ $180,000 (27.5‑year straight‑line on full cost)</w:t>
            </w:r>
          </w:p>
        </w:tc>
        <w:tc>
          <w:tcPr>
            <w:tcW w:type="dxa" w:w="2880"/>
          </w:tcPr>
          <w:p>
            <w:r>
              <w:t>≈ $385,000 (short‑life + building)</w:t>
            </w:r>
          </w:p>
        </w:tc>
      </w:tr>
      <w:tr>
        <w:tc>
          <w:tcPr>
            <w:tcW w:type="dxa" w:w="2880"/>
          </w:tcPr>
          <w:p>
            <w:r>
              <w:t>Early‑year tax savings (at 37% marginal rate, simplified)</w:t>
            </w:r>
          </w:p>
        </w:tc>
        <w:tc>
          <w:tcPr>
            <w:tcW w:type="dxa" w:w="2880"/>
          </w:tcPr>
          <w:p>
            <w:r>
              <w:t>≈ $67,000 of tax saved</w:t>
            </w:r>
          </w:p>
        </w:tc>
        <w:tc>
          <w:tcPr>
            <w:tcW w:type="dxa" w:w="2880"/>
          </w:tcPr>
          <w:p>
            <w:r>
              <w:t>≈ $142,000 of tax saved</w:t>
            </w:r>
          </w:p>
        </w:tc>
      </w:tr>
      <w:tr>
        <w:tc>
          <w:tcPr>
            <w:tcW w:type="dxa" w:w="2880"/>
          </w:tcPr>
          <w:p>
            <w:r>
              <w:t>Portion likely subject to short‑life recapture</w:t>
            </w:r>
          </w:p>
        </w:tc>
        <w:tc>
          <w:tcPr>
            <w:tcW w:type="dxa" w:w="2880"/>
          </w:tcPr>
          <w:p>
            <w:r>
              <w:t>Minimal (most depreciation is on building shell)</w:t>
            </w:r>
          </w:p>
        </w:tc>
        <w:tc>
          <w:tcPr>
            <w:tcW w:type="dxa" w:w="2880"/>
          </w:tcPr>
          <w:p>
            <w:r>
              <w:t>Larger share (short‑life 5/7/15‑year property)</w:t>
            </w:r>
          </w:p>
        </w:tc>
      </w:tr>
      <w:tr>
        <w:tc>
          <w:tcPr>
            <w:tcW w:type="dxa" w:w="2880"/>
          </w:tcPr>
          <w:p>
            <w:r>
              <w:t>Long‑term capital gain portion at sale</w:t>
            </w:r>
          </w:p>
        </w:tc>
        <w:tc>
          <w:tcPr>
            <w:tcW w:type="dxa" w:w="2880"/>
          </w:tcPr>
          <w:p>
            <w:r>
              <w:t>Higher share of total gain may qualify as long‑term capital gain</w:t>
            </w:r>
          </w:p>
        </w:tc>
        <w:tc>
          <w:tcPr>
            <w:tcW w:type="dxa" w:w="2880"/>
          </w:tcPr>
          <w:p>
            <w:r>
              <w:t>Smaller share of total gain may remain as long‑term capital gain</w:t>
            </w:r>
          </w:p>
        </w:tc>
      </w:tr>
    </w:tbl>
    <w:p>
      <w:pPr>
        <w:pStyle w:val="Heading2"/>
      </w:pPr>
      <w:r>
        <w:t>Key Action Steps for Investors &amp; Landlords</w:t>
      </w:r>
    </w:p>
    <w:p>
      <w:pPr>
        <w:pStyle w:val="ListBullet"/>
      </w:pPr>
      <w:r>
        <w:t>List your major properties and estimate how long you realistically plan to hold each one.</w:t>
      </w:r>
    </w:p>
    <w:p>
      <w:pPr>
        <w:pStyle w:val="ListBullet"/>
      </w:pPr>
      <w:r>
        <w:t>Identify which properties are strong candidates for cost seg based on size, use, and expected holding period.</w:t>
      </w:r>
    </w:p>
    <w:p>
      <w:pPr>
        <w:pStyle w:val="ListBullet"/>
      </w:pPr>
      <w:r>
        <w:t>Ask your tax advisor to model early‑year tax savings from cost seg versus potential recapture under different exit timelines.</w:t>
      </w:r>
    </w:p>
    <w:p>
      <w:pPr>
        <w:pStyle w:val="ListBullet"/>
      </w:pPr>
      <w:r>
        <w:t>Consider whether you’re open to 1031 exchanges, refinancing, or long‑term holds as part of your exit strategy.</w:t>
      </w:r>
    </w:p>
    <w:p>
      <w:pPr>
        <w:pStyle w:val="ListBullet"/>
      </w:pPr>
      <w:r>
        <w:t>Review other potential loss sources (other rentals, businesses, or investments) that could help soften recapture in a sale year.</w:t>
      </w:r>
    </w:p>
    <w:p>
      <w:pPr>
        <w:pStyle w:val="ListBullet"/>
      </w:pPr>
      <w:r>
        <w:t>Treat cost seg as part of a written life‑cycle plan for each property—not a stand‑alone, one‑year tax move.</w:t>
      </w:r>
    </w:p>
    <w:p>
      <w:pPr>
        <w:pStyle w:val="Heading2"/>
      </w:pPr>
      <w:r>
        <w:t>Key Action Steps for Tax Pros &amp; Advisors</w:t>
      </w:r>
    </w:p>
    <w:p>
      <w:pPr>
        <w:pStyle w:val="ListBullet"/>
      </w:pPr>
      <w:r>
        <w:t>Identify clients with sizable rental or commercial properties who are strong candidates for cost segregation.</w:t>
      </w:r>
    </w:p>
    <w:p>
      <w:pPr>
        <w:pStyle w:val="ListBullet"/>
      </w:pPr>
      <w:r>
        <w:t>Build a simple two‑phase illustration for each: early‑year tax savings vs. potential recapture under likely exit scenarios.</w:t>
      </w:r>
    </w:p>
    <w:p>
      <w:pPr>
        <w:pStyle w:val="ListBullet"/>
      </w:pPr>
      <w:r>
        <w:t>Explain recapture in plain English as a planned reconciliation, not a hidden penalty, and tie it to each client’s holding period.</w:t>
      </w:r>
    </w:p>
    <w:p>
      <w:pPr>
        <w:pStyle w:val="ListBullet"/>
      </w:pPr>
      <w:r>
        <w:t>Document a multi‑year plan that coordinates cost seg with 1031 exchanges, loss planning, and life events like retirement.</w:t>
      </w:r>
    </w:p>
    <w:p>
      <w:pPr>
        <w:pStyle w:val="ListBullet"/>
      </w:pPr>
      <w:r>
        <w:t>Update planning as laws and the client’s situation change, revisiting whether the original cost seg decision still fits.</w:t>
      </w:r>
    </w:p>
    <w:p>
      <w:pPr>
        <w:pStyle w:val="ListBullet"/>
      </w:pPr>
      <w:r>
        <w:t>Educate clients that the goal is not to avoid recapture at all costs, but to control when and how it shows up.</w:t>
      </w:r>
    </w:p>
    <w:p>
      <w:r>
        <w:rPr>
          <w:rFonts w:ascii="Calibri" w:hAnsi="Calibri"/>
          <w:sz w:val="18"/>
        </w:rPr>
        <w:t>Disclaimer: 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eastAsia="Calibr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eastAsia="Calibr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eastAsia="Calibri"/>
      <w:b/>
      <w:bCs/>
      <w:color w:val="4F81BD" w:themeColor="accent1"/>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eastAsia="Calibri"/>
      <w:b/>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