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M3 L5 Handout</w:t>
      </w:r>
    </w:p>
    <w:p>
      <w:r>
        <w:rPr>
          <w:b/>
          <w:sz w:val="28"/>
        </w:rPr>
        <w:t>1031 Exchanges and Cost Seg</w:t>
      </w:r>
    </w:p>
    <w:p/>
    <w:p>
      <w:r>
        <w:rPr>
          <w:b/>
          <w:sz w:val="26"/>
        </w:rPr>
        <w:t>Big Idea</w:t>
      </w:r>
    </w:p>
    <w:p>
      <w:r>
        <w:t>Cost segregation and 1031 exchanges are not competing strategies—they work together. Cost seg front-loads deductions while you own a property, and a properly structured 1031 exchange lets you defer the tax hit from gain and depreciation recapture when you trade up into your next deal.</w:t>
      </w:r>
    </w:p>
    <w:p>
      <w:r>
        <w:rPr>
          <w:b/>
          <w:sz w:val="26"/>
        </w:rPr>
        <w:t>Key Concepts / Quick Snapshot</w:t>
      </w:r>
    </w:p>
    <w:p>
      <w:pPr>
        <w:pStyle w:val="ListBullet"/>
      </w:pPr>
      <w:r>
        <w:t>A 1031 exchange lets you defer tax on gain and depreciation recapture when you sell investment real estate and reinvest in qualifying like-kind property under current rules.</w:t>
      </w:r>
    </w:p>
    <w:p>
      <w:pPr>
        <w:pStyle w:val="ListBullet"/>
      </w:pPr>
      <w:r>
        <w:t>Cost segregation accelerates depreciation by reclassifying parts of a building into shorter recovery periods (5, 7, 15 years), often with bonus depreciation.</w:t>
      </w:r>
    </w:p>
    <w:p>
      <w:pPr>
        <w:pStyle w:val="ListBullet"/>
      </w:pPr>
      <w:r>
        <w:t>When you sell a cost-segged property without a 1031, prior depreciation (including accelerated amounts) can generate significant depreciation recapture tax.</w:t>
      </w:r>
    </w:p>
    <w:p>
      <w:pPr>
        <w:pStyle w:val="ListBullet"/>
      </w:pPr>
      <w:r>
        <w:t>In a 1031, the deferred gain and prior depreciation do not disappear—they are carried into the replacement property’s basis and tax history.</w:t>
      </w:r>
    </w:p>
    <w:p>
      <w:pPr>
        <w:pStyle w:val="ListBullet"/>
      </w:pPr>
      <w:r>
        <w:t>Over multiple exchanges (A → B → C), you can build a “ladder” of properties, using cost seg at each stage to improve cash flow and a 1031 to defer the final tax event.</w:t>
      </w:r>
    </w:p>
    <w:p>
      <w:pPr>
        <w:pStyle w:val="ListBullet"/>
      </w:pPr>
      <w:r>
        <w:t>Eventually, if you exit the chain without another 1031 or additional planning, the accumulated gain and recapture are recognized, but by then your overall strategy and capacity may have changed.</w:t>
      </w:r>
    </w:p>
    <w:p>
      <w:r>
        <w:rPr>
          <w:b/>
          <w:sz w:val="26"/>
        </w:rPr>
        <w:t>Where Cost Seg Fits in a 1031 Strategy</w:t>
      </w:r>
    </w:p>
    <w:p>
      <w:r>
        <w:t>Cost segregation and 1031 exchanges fit together as part of a long-term real estate growth plan. Instead of treating cost seg as a one-time deduction on a single property, you can use it in combination with 1031 exchanges to optimize your tax position across a portfolio over many years.</w:t>
      </w:r>
    </w:p>
    <w:p>
      <w:pPr>
        <w:pStyle w:val="ListBullet"/>
      </w:pPr>
      <w:r>
        <w:t>Cost seg improves cash flow during the holding period by front-loading deductions—especially useful in high-income years.</w:t>
      </w:r>
    </w:p>
    <w:p>
      <w:pPr>
        <w:pStyle w:val="ListBullet"/>
      </w:pPr>
      <w:r>
        <w:t>A later 1031 exchange allows you to trade up into a larger property without immediately triggering full gain and depreciation recapture.</w:t>
      </w:r>
    </w:p>
    <w:p>
      <w:pPr>
        <w:pStyle w:val="ListBullet"/>
      </w:pPr>
      <w:r>
        <w:t>Each new replacement property can be a fresh opportunity for another cost seg study under current rules.</w:t>
      </w:r>
    </w:p>
    <w:p>
      <w:pPr>
        <w:pStyle w:val="ListBullet"/>
      </w:pPr>
      <w:r>
        <w:t>Together, these tools can help fund down payments, renovations, and portfolio expansion while controlling the timing of major tax events.</w:t>
      </w:r>
    </w:p>
    <w:p>
      <w:r>
        <w:rPr>
          <w:b/>
          <w:sz w:val="26"/>
        </w:rPr>
        <w:t>Illustrative Example: Single Upgrade with and without a 1031 Exchange</w:t>
      </w:r>
    </w:p>
    <w:p>
      <w:r>
        <w:t>Assume you own a $600,000 rental property. You completed a cost segregation study and have claimed about $200,000 of depreciation over several years, including a large first-year deduction. The property has appreciated and you now want to move into a $1,500,000 property.</w:t>
      </w:r>
    </w:p>
    <w:p>
      <w:r>
        <w:t>Here is a simplified comparison of selling with and without a 1031 exchange under current rules:</w:t>
      </w:r>
    </w:p>
    <w:tbl>
      <w:tblPr>
        <w:tblW w:type="auto" w:w="0"/>
        <w:tblLook w:firstColumn="1" w:firstRow="1" w:lastColumn="0" w:lastRow="0" w:noHBand="0" w:noVBand="1" w:val="04A0"/>
      </w:tblPr>
      <w:tblGrid>
        <w:gridCol w:w="4320"/>
        <w:gridCol w:w="4320"/>
      </w:tblGrid>
      <w:tr>
        <w:tc>
          <w:tcPr>
            <w:tcW w:type="dxa" w:w="4320"/>
          </w:tcPr>
          <w:p>
            <w:r>
              <w:t>Sell Without 1031</w:t>
            </w:r>
          </w:p>
        </w:tc>
        <w:tc>
          <w:tcPr>
            <w:tcW w:type="dxa" w:w="4320"/>
          </w:tcPr>
          <w:p>
            <w:r>
              <w:t>Sell With 1031</w:t>
            </w:r>
          </w:p>
        </w:tc>
      </w:tr>
      <w:tr>
        <w:tc>
          <w:tcPr>
            <w:tcW w:type="dxa" w:w="4320"/>
          </w:tcPr>
          <w:p>
            <w:r>
              <w:t>• Gain and depreciation recapture are recognized in the year of sale.</w:t>
              <w:br/>
              <w:t>• You may owe a large tax bill based on appreciation and $200,000 of prior depreciation.</w:t>
              <w:br/>
              <w:t>• You reinvest only what is left after tax into the new property.</w:t>
            </w:r>
          </w:p>
        </w:tc>
        <w:tc>
          <w:tcPr>
            <w:tcW w:type="dxa" w:w="4320"/>
          </w:tcPr>
          <w:p>
            <w:r>
              <w:t>• Gain and depreciation recapture are deferred into the replacement property.</w:t>
              <w:br/>
              <w:t>• More of your capital moves into the $1,500,000 property instead of being paid out in tax now.</w:t>
              <w:br/>
              <w:t>• The prior depreciation and deferred gain are embedded in the new property’s tax basis and will matter on a later exit.</w:t>
            </w:r>
          </w:p>
        </w:tc>
      </w:tr>
    </w:tbl>
    <w:p/>
    <w:p>
      <w:r>
        <w:rPr>
          <w:b/>
          <w:sz w:val="26"/>
        </w:rPr>
        <w:t>Key Action Steps for Investors &amp; Landlords</w:t>
      </w:r>
    </w:p>
    <w:p>
      <w:pPr>
        <w:pStyle w:val="ListBullet"/>
      </w:pPr>
      <w:r>
        <w:t>Identify any properties where you have already done cost segregation and may sell or exchange in the next 1–3 years.</w:t>
      </w:r>
    </w:p>
    <w:p>
      <w:pPr>
        <w:pStyle w:val="ListBullet"/>
      </w:pPr>
      <w:r>
        <w:t>Ask your advisor to model the tax impact of selling those properties with and without a 1031 exchange.</w:t>
      </w:r>
    </w:p>
    <w:p>
      <w:pPr>
        <w:pStyle w:val="ListBullet"/>
      </w:pPr>
      <w:r>
        <w:t>For each planned 1031 upgrade, consider scheduling a cost seg study early on the replacement property to maximize deductions under current rules.</w:t>
      </w:r>
    </w:p>
    <w:p>
      <w:pPr>
        <w:pStyle w:val="ListBullet"/>
      </w:pPr>
      <w:r>
        <w:t>Map out a simple multi-property plan: where cost seg will be used, where a 1031 might apply, and how this affects cash flow and tax timing.</w:t>
      </w:r>
    </w:p>
    <w:p>
      <w:pPr>
        <w:pStyle w:val="ListBullet"/>
      </w:pPr>
      <w:r>
        <w:t>If you are worried about depreciation recapture, discuss how 1031 exchanges and holding periods can help you manage when that tax comes due.</w:t>
      </w:r>
    </w:p>
    <w:p>
      <w:r>
        <w:rPr>
          <w:b/>
          <w:sz w:val="26"/>
        </w:rPr>
        <w:t>Key Action Steps for Tax Pros &amp; Advisors</w:t>
      </w:r>
    </w:p>
    <w:p>
      <w:pPr>
        <w:pStyle w:val="ListBullet"/>
      </w:pPr>
      <w:r>
        <w:t>Flag clients who are likely to sell or exchange investment real estate in the next few years and review prior cost seg activity.</w:t>
      </w:r>
    </w:p>
    <w:p>
      <w:pPr>
        <w:pStyle w:val="ListBullet"/>
      </w:pPr>
      <w:r>
        <w:t>Integrate cost seg analysis into 1031 planning instead of treating them as separate conversations.</w:t>
      </w:r>
    </w:p>
    <w:p>
      <w:pPr>
        <w:pStyle w:val="ListBullet"/>
      </w:pPr>
      <w:r>
        <w:t>Build simple timelines showing buy → cost seg → hold → 1031 → new cost seg, so clients see how these tools work together over time.</w:t>
      </w:r>
    </w:p>
    <w:p>
      <w:pPr>
        <w:pStyle w:val="ListBullet"/>
      </w:pPr>
      <w:r>
        <w:t>Model side-by-side scenarios for clients: selling outright versus using a 1031, and with or without cost segregation on the replacement property.</w:t>
      </w:r>
    </w:p>
    <w:p>
      <w:pPr>
        <w:pStyle w:val="ListBullet"/>
      </w:pPr>
      <w:r>
        <w:t>Educate clients about how deferred gain and prior depreciation carry into the replacement property so expectations are clear for future exits.</w:t>
      </w:r>
    </w:p>
    <w:p>
      <w:pPr>
        <w:pStyle w:val="ListBullet"/>
      </w:pPr>
      <w:r>
        <w:t>Coordinate with qualified intermediaries and other advisors early to ensure 1031 timing and documentation requirements are met.</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