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sz w:val="40"/>
        </w:rPr>
        <w:t>CS – M3 L3 Handout</w:t>
      </w:r>
    </w:p>
    <w:p>
      <w:r>
        <w:rPr>
          <w:b/>
          <w:sz w:val="28"/>
        </w:rPr>
        <w:t>Multi-Year Planning with Cost Seg</w:t>
      </w:r>
    </w:p>
    <w:p>
      <w:r>
        <w:rPr>
          <w:b/>
          <w:sz w:val="26"/>
        </w:rPr>
        <w:t>Big Idea</w:t>
      </w:r>
    </w:p>
    <w:p>
      <w:r>
        <w:t>Cost segregation is most powerful when you plan over a 3–5 year window instead of just one tax year. By intentionally timing acquisitions, placed-in-service dates, and studies around high-income years and REP/STR status, you align large depreciation deductions with the years where they actually move your tax bill and cash flow.</w:t>
      </w:r>
    </w:p>
    <w:p>
      <w:r>
        <w:rPr>
          <w:b/>
          <w:sz w:val="26"/>
        </w:rPr>
        <w:t>Key Concepts / Quick Snapshot</w:t>
      </w:r>
    </w:p>
    <w:p>
      <w:pPr>
        <w:pStyle w:val="ListBullet"/>
      </w:pPr>
      <w:r>
        <w:t>Total depreciation over the life of a property is similar with or without cost seg; what changes is the timing.</w:t>
      </w:r>
    </w:p>
    <w:p>
      <w:pPr>
        <w:pStyle w:val="ListBullet"/>
      </w:pPr>
      <w:r>
        <w:t>Multi-year planning focuses on aligning large first-year deductions with known high-income years.</w:t>
      </w:r>
    </w:p>
    <w:p>
      <w:pPr>
        <w:pStyle w:val="ListBullet"/>
      </w:pPr>
      <w:r>
        <w:t>Placed-in-service year drives when bonus depreciation and accelerated deductions hit your return.</w:t>
      </w:r>
    </w:p>
    <w:p>
      <w:pPr>
        <w:pStyle w:val="ListBullet"/>
      </w:pPr>
      <w:r>
        <w:t>You can choose whether a property is placed in service late this year or early next year, within practical limits.</w:t>
      </w:r>
    </w:p>
    <w:p>
      <w:pPr>
        <w:pStyle w:val="ListBullet"/>
      </w:pPr>
      <w:r>
        <w:t>Known events like business sales, stock option exercises, or peak W-2 years are prime targets to pair with cost seg.</w:t>
      </w:r>
    </w:p>
    <w:p>
      <w:pPr>
        <w:pStyle w:val="ListBullet"/>
      </w:pPr>
      <w:r>
        <w:t>REP and STR status timelines matter; large deductions are most valuable in years when losses can be non-passive.</w:t>
      </w:r>
    </w:p>
    <w:p>
      <w:pPr>
        <w:pStyle w:val="ListBullet"/>
      </w:pPr>
      <w:r>
        <w:t>Tax pros can build simple 3–5 year roadmaps that coordinate properties, status, and events around cost seg timing.</w:t>
      </w:r>
    </w:p>
    <w:p>
      <w:r>
        <w:rPr>
          <w:b/>
          <w:sz w:val="26"/>
        </w:rPr>
        <w:t>Where Cost Seg Fits in Multi-Year Planning</w:t>
      </w:r>
    </w:p>
    <w:p>
      <w:r>
        <w:t>Cost segregation is not just a one-time “bonus depreciation” move. It becomes a core planning tool when you look across several years of income, property activity, and major life or business events. For investors and tax pros, the goal is to decide which specific year should receive the largest cost seg deduction and then work backward from there.</w:t>
      </w:r>
    </w:p>
    <w:p>
      <w:r>
        <w:t>In practice, cost seg can help you:</w:t>
      </w:r>
    </w:p>
    <w:p>
      <w:pPr>
        <w:pStyle w:val="ListBullet"/>
      </w:pPr>
      <w:r>
        <w:t>Soften the tax impact of a one-time income spike in a targeted year.</w:t>
      </w:r>
    </w:p>
    <w:p>
      <w:pPr>
        <w:pStyle w:val="ListBullet"/>
      </w:pPr>
      <w:r>
        <w:t>Make better decisions about whether to rush or delay placed-in-service dates around year-end.</w:t>
      </w:r>
    </w:p>
    <w:p>
      <w:pPr>
        <w:pStyle w:val="ListBullet"/>
      </w:pPr>
      <w:r>
        <w:t>Time rehabs and upgrades so the largest deductions land in REP or STR material participation years.</w:t>
      </w:r>
    </w:p>
    <w:p>
      <w:pPr>
        <w:pStyle w:val="ListBullet"/>
      </w:pPr>
      <w:r>
        <w:t>Sequence acquisitions and studies so you always have at least one meaningful depreciation “lever” reserved for future planning.</w:t>
      </w:r>
    </w:p>
    <w:p>
      <w:r>
        <w:rPr>
          <w:b/>
          <w:sz w:val="26"/>
        </w:rPr>
        <w:t>Illustrative Example: Aiming Cost Seg at a High-Income Year</w:t>
      </w:r>
    </w:p>
    <w:p>
      <w:r>
        <w:t>Assume you plan to exercise a large block of stock options in Year 2, creating an extra $300,000 of taxable income. You are also planning to buy a rental property that could generate $150,000 of first-year depreciation with a cost seg study.</w:t>
      </w:r>
    </w:p>
    <w:p>
      <w:r>
        <w:t>You can either place the property in service late in Year 1, or intentionally wait and place it in service early in Year 2.</w:t>
      </w:r>
    </w:p>
    <w:tbl>
      <w:tblPr>
        <w:tblStyle w:val="TableGrid"/>
        <w:tblW w:type="auto" w:w="0"/>
        <w:tblLook w:firstColumn="1" w:firstRow="1" w:lastColumn="0" w:lastRow="0" w:noHBand="0" w:noVBand="1" w:val="04A0"/>
      </w:tblPr>
      <w:tblGrid>
        <w:gridCol w:w="4320"/>
        <w:gridCol w:w="4320"/>
      </w:tblGrid>
      <w:tr>
        <w:tc>
          <w:tcPr>
            <w:tcW w:type="dxa" w:w="4320"/>
          </w:tcPr>
          <w:p>
            <w:r>
              <w:t>Scenario</w:t>
            </w:r>
          </w:p>
        </w:tc>
        <w:tc>
          <w:tcPr>
            <w:tcW w:type="dxa" w:w="4320"/>
          </w:tcPr>
          <w:p>
            <w:r>
              <w:t>Result (Simplified)</w:t>
            </w:r>
          </w:p>
        </w:tc>
      </w:tr>
      <w:tr>
        <w:tc>
          <w:tcPr>
            <w:tcW w:type="dxa" w:w="4320"/>
          </w:tcPr>
          <w:p>
            <w:r>
              <w:t>Placed in Service in Year 1</w:t>
            </w:r>
          </w:p>
        </w:tc>
        <w:tc>
          <w:tcPr>
            <w:tcW w:type="dxa" w:w="4320"/>
          </w:tcPr>
          <w:p>
            <w:r>
              <w:t>Year 1 gets the $150,000 deduction when your income and tax rate are relatively normal. Year 2 has the full $300,000 option income with no matching cost seg deduction.</w:t>
            </w:r>
          </w:p>
        </w:tc>
      </w:tr>
      <w:tr>
        <w:tc>
          <w:tcPr>
            <w:tcW w:type="dxa" w:w="4320"/>
          </w:tcPr>
          <w:p>
            <w:r>
              <w:t>Placed in Service in Year 2</w:t>
            </w:r>
          </w:p>
        </w:tc>
        <w:tc>
          <w:tcPr>
            <w:tcW w:type="dxa" w:w="4320"/>
          </w:tcPr>
          <w:p>
            <w:r>
              <w:t>Year 2 gets the $150,000 deduction in the same year as the $300,000 option income, potentially reducing tax at a much higher rate.</w:t>
            </w:r>
          </w:p>
        </w:tc>
      </w:tr>
    </w:tbl>
    <w:p>
      <w:r>
        <w:t>In both scenarios, total depreciation over the life of the property is similar. The difference is which year receives the big deduction and how well that lines up with your highest-taxed income.</w:t>
      </w:r>
    </w:p>
    <w:p>
      <w:r>
        <w:rPr>
          <w:b/>
          <w:sz w:val="26"/>
        </w:rPr>
        <w:t>Key Action Steps for Investors &amp; Landlords</w:t>
      </w:r>
    </w:p>
    <w:p>
      <w:pPr>
        <w:pStyle w:val="ListBullet"/>
      </w:pPr>
      <w:r>
        <w:t>Sketch out the next 3–5 years of your income, including expected spikes like bonuses, sales, or option exercises.</w:t>
      </w:r>
    </w:p>
    <w:p>
      <w:pPr>
        <w:pStyle w:val="ListBullet"/>
      </w:pPr>
      <w:r>
        <w:t>List planned property acquisitions, sales, and major rehabs and note the likely placed-in-service years.</w:t>
      </w:r>
    </w:p>
    <w:p>
      <w:pPr>
        <w:pStyle w:val="ListBullet"/>
      </w:pPr>
      <w:r>
        <w:t>Identify one or two “target years” where tax savings would matter most for your cash flow.</w:t>
      </w:r>
    </w:p>
    <w:p>
      <w:pPr>
        <w:pStyle w:val="ListBullet"/>
      </w:pPr>
      <w:r>
        <w:t>Discuss with your advisor whether to time placed-in-service dates and cost seg studies so big deductions land in those target years.</w:t>
      </w:r>
    </w:p>
    <w:p>
      <w:pPr>
        <w:pStyle w:val="ListBullet"/>
      </w:pPr>
      <w:r>
        <w:t>If REP or STR status is part of your plan, map out when you can realistically meet the tests and align major deductions with those years.</w:t>
      </w:r>
    </w:p>
    <w:p>
      <w:pPr>
        <w:pStyle w:val="ListBullet"/>
      </w:pPr>
      <w:r>
        <w:t>Revisit your plan annually to adjust for changes in income, deals, and life events.</w:t>
      </w:r>
    </w:p>
    <w:p>
      <w:r>
        <w:rPr>
          <w:b/>
          <w:sz w:val="26"/>
        </w:rPr>
        <w:t>Key Action Steps for Tax Pros &amp; Advisors</w:t>
      </w:r>
    </w:p>
    <w:p>
      <w:pPr>
        <w:pStyle w:val="ListBullet"/>
      </w:pPr>
      <w:r>
        <w:t>Build a simple 3–5 year projection for key clients, broken out by income type, major events, and real estate activity.</w:t>
      </w:r>
    </w:p>
    <w:p>
      <w:pPr>
        <w:pStyle w:val="ListBullet"/>
      </w:pPr>
      <w:r>
        <w:t>Flag high-exposure years where additional deductions would meaningfully change the effective tax rate.</w:t>
      </w:r>
    </w:p>
    <w:p>
      <w:pPr>
        <w:pStyle w:val="ListBullet"/>
      </w:pPr>
      <w:r>
        <w:t>Review each client’s property list to identify strong cost seg candidates and estimate potential first-year deductions.</w:t>
      </w:r>
    </w:p>
    <w:p>
      <w:pPr>
        <w:pStyle w:val="ListBullet"/>
      </w:pPr>
      <w:r>
        <w:t>Coordinate cost seg timing with REP and STR strategies so non-passive loss opportunities are not wasted in low-impact years.</w:t>
      </w:r>
    </w:p>
    <w:p>
      <w:pPr>
        <w:pStyle w:val="ListBullet"/>
      </w:pPr>
      <w:r>
        <w:t>Document a written roadmap that sequences acquisitions, rehabs, and cost seg studies rather than handling each one in isolation.</w:t>
      </w:r>
    </w:p>
    <w:p>
      <w:pPr>
        <w:pStyle w:val="ListBullet"/>
      </w:pPr>
      <w:r>
        <w:t>Use annual check-ins to update the roadmap as deals, timelines, and personal circumstances shift.</w:t>
      </w:r>
    </w:p>
    <w:p>
      <w:r>
        <w:rPr>
          <w:sz w:val="18"/>
        </w:rPr>
        <w:t>Disclaimer: This handout is for educational purposes only and does not constitute tax, legal, or financial advice. Tax rules may change, and the impact of any strategy depends on your specific facts. Consult your own qualified advisor before acting on any concept discussed in this course.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